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2E06C" w14:textId="32C34A5F" w:rsidR="0023266D" w:rsidRPr="00381F4B" w:rsidRDefault="00D25AA4" w:rsidP="0023266D">
      <w:pPr>
        <w:pStyle w:val="paragraph"/>
        <w:shd w:val="clear" w:color="auto" w:fill="4472C4"/>
        <w:spacing w:before="0" w:beforeAutospacing="0" w:after="0" w:afterAutospacing="0"/>
        <w:jc w:val="center"/>
        <w:textAlignment w:val="baseline"/>
        <w:rPr>
          <w:rFonts w:ascii="Segoe UI" w:hAnsi="Segoe UI" w:cs="Segoe UI"/>
          <w:sz w:val="16"/>
          <w:szCs w:val="16"/>
        </w:rPr>
      </w:pPr>
      <w:r>
        <w:rPr>
          <w:rStyle w:val="normaltextrun"/>
          <w:rFonts w:ascii="Calibri Light" w:hAnsi="Calibri Light" w:cs="Calibri Light"/>
          <w:b/>
          <w:bCs/>
          <w:color w:val="FFFFFF"/>
          <w:sz w:val="52"/>
          <w:szCs w:val="52"/>
        </w:rPr>
        <w:t xml:space="preserve">Adverse and Positive Childhood Experiences (ACEs &amp; PCEs) in </w:t>
      </w:r>
      <w:r w:rsidR="0023266D" w:rsidRPr="00381F4B">
        <w:rPr>
          <w:rStyle w:val="normaltextrun"/>
          <w:rFonts w:ascii="Calibri Light" w:hAnsi="Calibri Light" w:cs="Calibri Light"/>
          <w:b/>
          <w:bCs/>
          <w:color w:val="FFFFFF"/>
          <w:sz w:val="52"/>
          <w:szCs w:val="52"/>
        </w:rPr>
        <w:t>Massachusetts: </w:t>
      </w:r>
      <w:r w:rsidR="0023266D" w:rsidRPr="00381F4B">
        <w:rPr>
          <w:rStyle w:val="eop"/>
          <w:rFonts w:ascii="Calibri Light" w:hAnsi="Calibri Light" w:cs="Calibri Light"/>
          <w:color w:val="FFFFFF"/>
          <w:sz w:val="52"/>
          <w:szCs w:val="52"/>
        </w:rPr>
        <w:t> </w:t>
      </w:r>
    </w:p>
    <w:p w14:paraId="56488864" w14:textId="77777777" w:rsidR="0023266D" w:rsidRPr="00381F4B" w:rsidRDefault="0023266D" w:rsidP="0023266D">
      <w:pPr>
        <w:pStyle w:val="paragraph"/>
        <w:shd w:val="clear" w:color="auto" w:fill="4472C4"/>
        <w:spacing w:before="0" w:beforeAutospacing="0" w:after="0" w:afterAutospacing="0"/>
        <w:jc w:val="center"/>
        <w:textAlignment w:val="baseline"/>
        <w:rPr>
          <w:rFonts w:ascii="Segoe UI" w:hAnsi="Segoe UI" w:cs="Segoe UI"/>
          <w:sz w:val="16"/>
          <w:szCs w:val="16"/>
        </w:rPr>
      </w:pPr>
      <w:r w:rsidRPr="00381F4B">
        <w:rPr>
          <w:rStyle w:val="normaltextrun"/>
          <w:rFonts w:ascii="Calibri Light" w:hAnsi="Calibri Light" w:cs="Calibri Light"/>
          <w:b/>
          <w:bCs/>
          <w:color w:val="FFFFFF"/>
          <w:sz w:val="52"/>
          <w:szCs w:val="52"/>
        </w:rPr>
        <w:t>Interactive Dashboard User Guide</w:t>
      </w:r>
      <w:r w:rsidRPr="00381F4B">
        <w:rPr>
          <w:rStyle w:val="eop"/>
          <w:rFonts w:ascii="Calibri Light" w:hAnsi="Calibri Light" w:cs="Calibri Light"/>
          <w:color w:val="FFFFFF"/>
          <w:sz w:val="52"/>
          <w:szCs w:val="52"/>
        </w:rPr>
        <w:t> </w:t>
      </w:r>
    </w:p>
    <w:p w14:paraId="37A55997" w14:textId="704C8D83" w:rsidR="0023266D" w:rsidRDefault="0023266D" w:rsidP="0023266D">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sz w:val="22"/>
          <w:szCs w:val="22"/>
        </w:rPr>
        <w:t>[Version 1.</w:t>
      </w:r>
      <w:r w:rsidR="000529BE">
        <w:rPr>
          <w:rStyle w:val="normaltextrun"/>
          <w:rFonts w:ascii="Calibri" w:hAnsi="Calibri" w:cs="Calibri"/>
          <w:sz w:val="22"/>
          <w:szCs w:val="22"/>
        </w:rPr>
        <w:t>2</w:t>
      </w:r>
      <w:r>
        <w:rPr>
          <w:rStyle w:val="normaltextrun"/>
          <w:rFonts w:ascii="Calibri" w:hAnsi="Calibri" w:cs="Calibri"/>
          <w:sz w:val="22"/>
          <w:szCs w:val="22"/>
        </w:rPr>
        <w:t>: August 2023]</w:t>
      </w:r>
      <w:r>
        <w:rPr>
          <w:rStyle w:val="eop"/>
          <w:rFonts w:ascii="Calibri" w:hAnsi="Calibri" w:cs="Calibri"/>
          <w:sz w:val="22"/>
          <w:szCs w:val="22"/>
        </w:rPr>
        <w:t> </w:t>
      </w:r>
    </w:p>
    <w:sdt>
      <w:sdtPr>
        <w:rPr>
          <w:rFonts w:asciiTheme="minorHAnsi" w:eastAsiaTheme="minorHAnsi" w:hAnsiTheme="minorHAnsi" w:cstheme="minorBidi"/>
          <w:color w:val="auto"/>
          <w:sz w:val="22"/>
          <w:szCs w:val="22"/>
        </w:rPr>
        <w:id w:val="1118338207"/>
        <w:docPartObj>
          <w:docPartGallery w:val="Table of Contents"/>
          <w:docPartUnique/>
        </w:docPartObj>
      </w:sdtPr>
      <w:sdtEndPr>
        <w:rPr>
          <w:b/>
          <w:bCs/>
          <w:noProof/>
        </w:rPr>
      </w:sdtEndPr>
      <w:sdtContent>
        <w:p w14:paraId="2E574502" w14:textId="0363A8EE" w:rsidR="00AF19AD" w:rsidRDefault="00AF19AD">
          <w:pPr>
            <w:pStyle w:val="TOCHeading"/>
          </w:pPr>
          <w:r>
            <w:t>Contents</w:t>
          </w:r>
        </w:p>
        <w:p w14:paraId="6DA5FA0F" w14:textId="258F13E1" w:rsidR="00514485" w:rsidRDefault="00AF19AD">
          <w:pPr>
            <w:pStyle w:val="TOC1"/>
            <w:tabs>
              <w:tab w:val="right" w:leader="dot" w:pos="9350"/>
            </w:tabs>
            <w:rPr>
              <w:rFonts w:eastAsiaTheme="minorEastAsia"/>
              <w:noProof/>
              <w:kern w:val="2"/>
              <w:sz w:val="24"/>
              <w:szCs w:val="24"/>
              <w14:ligatures w14:val="standardContextual"/>
            </w:rPr>
          </w:pPr>
          <w:r>
            <w:fldChar w:fldCharType="begin"/>
          </w:r>
          <w:r>
            <w:instrText xml:space="preserve"> TOC \o "1-2" \h \z \u </w:instrText>
          </w:r>
          <w:r>
            <w:fldChar w:fldCharType="separate"/>
          </w:r>
          <w:hyperlink w:anchor="_Toc155626814" w:history="1">
            <w:r w:rsidR="00514485" w:rsidRPr="00FE2680">
              <w:rPr>
                <w:rStyle w:val="Hyperlink"/>
                <w:noProof/>
              </w:rPr>
              <w:t>Description of the Dashboard</w:t>
            </w:r>
            <w:r w:rsidR="00514485">
              <w:rPr>
                <w:noProof/>
                <w:webHidden/>
              </w:rPr>
              <w:tab/>
            </w:r>
            <w:r w:rsidR="00514485">
              <w:rPr>
                <w:noProof/>
                <w:webHidden/>
              </w:rPr>
              <w:fldChar w:fldCharType="begin"/>
            </w:r>
            <w:r w:rsidR="00514485">
              <w:rPr>
                <w:noProof/>
                <w:webHidden/>
              </w:rPr>
              <w:instrText xml:space="preserve"> PAGEREF _Toc155626814 \h </w:instrText>
            </w:r>
            <w:r w:rsidR="00514485">
              <w:rPr>
                <w:noProof/>
                <w:webHidden/>
              </w:rPr>
            </w:r>
            <w:r w:rsidR="00514485">
              <w:rPr>
                <w:noProof/>
                <w:webHidden/>
              </w:rPr>
              <w:fldChar w:fldCharType="separate"/>
            </w:r>
            <w:r w:rsidR="00514485">
              <w:rPr>
                <w:noProof/>
                <w:webHidden/>
              </w:rPr>
              <w:t>2</w:t>
            </w:r>
            <w:r w:rsidR="00514485">
              <w:rPr>
                <w:noProof/>
                <w:webHidden/>
              </w:rPr>
              <w:fldChar w:fldCharType="end"/>
            </w:r>
          </w:hyperlink>
        </w:p>
        <w:p w14:paraId="1376F242" w14:textId="7DBBBAEE" w:rsidR="00514485" w:rsidRDefault="00514485">
          <w:pPr>
            <w:pStyle w:val="TOC1"/>
            <w:tabs>
              <w:tab w:val="right" w:leader="dot" w:pos="9350"/>
            </w:tabs>
            <w:rPr>
              <w:rFonts w:eastAsiaTheme="minorEastAsia"/>
              <w:noProof/>
              <w:kern w:val="2"/>
              <w:sz w:val="24"/>
              <w:szCs w:val="24"/>
              <w14:ligatures w14:val="standardContextual"/>
            </w:rPr>
          </w:pPr>
          <w:hyperlink w:anchor="_Toc155626815" w:history="1">
            <w:r w:rsidRPr="00FE2680">
              <w:rPr>
                <w:rStyle w:val="Hyperlink"/>
                <w:noProof/>
              </w:rPr>
              <w:t>Who is this dashboard for?</w:t>
            </w:r>
            <w:r>
              <w:rPr>
                <w:noProof/>
                <w:webHidden/>
              </w:rPr>
              <w:tab/>
            </w:r>
            <w:r>
              <w:rPr>
                <w:noProof/>
                <w:webHidden/>
              </w:rPr>
              <w:fldChar w:fldCharType="begin"/>
            </w:r>
            <w:r>
              <w:rPr>
                <w:noProof/>
                <w:webHidden/>
              </w:rPr>
              <w:instrText xml:space="preserve"> PAGEREF _Toc155626815 \h </w:instrText>
            </w:r>
            <w:r>
              <w:rPr>
                <w:noProof/>
                <w:webHidden/>
              </w:rPr>
            </w:r>
            <w:r>
              <w:rPr>
                <w:noProof/>
                <w:webHidden/>
              </w:rPr>
              <w:fldChar w:fldCharType="separate"/>
            </w:r>
            <w:r>
              <w:rPr>
                <w:noProof/>
                <w:webHidden/>
              </w:rPr>
              <w:t>2</w:t>
            </w:r>
            <w:r>
              <w:rPr>
                <w:noProof/>
                <w:webHidden/>
              </w:rPr>
              <w:fldChar w:fldCharType="end"/>
            </w:r>
          </w:hyperlink>
        </w:p>
        <w:p w14:paraId="55389B87" w14:textId="771E601B" w:rsidR="00514485" w:rsidRDefault="00514485">
          <w:pPr>
            <w:pStyle w:val="TOC1"/>
            <w:tabs>
              <w:tab w:val="right" w:leader="dot" w:pos="9350"/>
            </w:tabs>
            <w:rPr>
              <w:rFonts w:eastAsiaTheme="minorEastAsia"/>
              <w:noProof/>
              <w:kern w:val="2"/>
              <w:sz w:val="24"/>
              <w:szCs w:val="24"/>
              <w14:ligatures w14:val="standardContextual"/>
            </w:rPr>
          </w:pPr>
          <w:hyperlink w:anchor="_Toc155626816" w:history="1">
            <w:r w:rsidRPr="00FE2680">
              <w:rPr>
                <w:rStyle w:val="Hyperlink"/>
                <w:noProof/>
              </w:rPr>
              <w:t>Quick-Start Navigation</w:t>
            </w:r>
            <w:r>
              <w:rPr>
                <w:noProof/>
                <w:webHidden/>
              </w:rPr>
              <w:tab/>
            </w:r>
            <w:r>
              <w:rPr>
                <w:noProof/>
                <w:webHidden/>
              </w:rPr>
              <w:fldChar w:fldCharType="begin"/>
            </w:r>
            <w:r>
              <w:rPr>
                <w:noProof/>
                <w:webHidden/>
              </w:rPr>
              <w:instrText xml:space="preserve"> PAGEREF _Toc155626816 \h </w:instrText>
            </w:r>
            <w:r>
              <w:rPr>
                <w:noProof/>
                <w:webHidden/>
              </w:rPr>
            </w:r>
            <w:r>
              <w:rPr>
                <w:noProof/>
                <w:webHidden/>
              </w:rPr>
              <w:fldChar w:fldCharType="separate"/>
            </w:r>
            <w:r>
              <w:rPr>
                <w:noProof/>
                <w:webHidden/>
              </w:rPr>
              <w:t>3</w:t>
            </w:r>
            <w:r>
              <w:rPr>
                <w:noProof/>
                <w:webHidden/>
              </w:rPr>
              <w:fldChar w:fldCharType="end"/>
            </w:r>
          </w:hyperlink>
        </w:p>
        <w:p w14:paraId="77B363CE" w14:textId="1944D3E1" w:rsidR="00514485" w:rsidRDefault="00514485">
          <w:pPr>
            <w:pStyle w:val="TOC1"/>
            <w:tabs>
              <w:tab w:val="right" w:leader="dot" w:pos="9350"/>
            </w:tabs>
            <w:rPr>
              <w:rFonts w:eastAsiaTheme="minorEastAsia"/>
              <w:noProof/>
              <w:kern w:val="2"/>
              <w:sz w:val="24"/>
              <w:szCs w:val="24"/>
              <w14:ligatures w14:val="standardContextual"/>
            </w:rPr>
          </w:pPr>
          <w:hyperlink w:anchor="_Toc155626817" w:history="1">
            <w:r w:rsidRPr="00FE2680">
              <w:rPr>
                <w:rStyle w:val="Hyperlink"/>
                <w:noProof/>
              </w:rPr>
              <w:t>Dashboard Features Overview </w:t>
            </w:r>
            <w:r>
              <w:rPr>
                <w:noProof/>
                <w:webHidden/>
              </w:rPr>
              <w:tab/>
            </w:r>
            <w:r>
              <w:rPr>
                <w:noProof/>
                <w:webHidden/>
              </w:rPr>
              <w:fldChar w:fldCharType="begin"/>
            </w:r>
            <w:r>
              <w:rPr>
                <w:noProof/>
                <w:webHidden/>
              </w:rPr>
              <w:instrText xml:space="preserve"> PAGEREF _Toc155626817 \h </w:instrText>
            </w:r>
            <w:r>
              <w:rPr>
                <w:noProof/>
                <w:webHidden/>
              </w:rPr>
            </w:r>
            <w:r>
              <w:rPr>
                <w:noProof/>
                <w:webHidden/>
              </w:rPr>
              <w:fldChar w:fldCharType="separate"/>
            </w:r>
            <w:r>
              <w:rPr>
                <w:noProof/>
                <w:webHidden/>
              </w:rPr>
              <w:t>4</w:t>
            </w:r>
            <w:r>
              <w:rPr>
                <w:noProof/>
                <w:webHidden/>
              </w:rPr>
              <w:fldChar w:fldCharType="end"/>
            </w:r>
          </w:hyperlink>
        </w:p>
        <w:p w14:paraId="3808C6E7" w14:textId="724390F0" w:rsidR="00514485" w:rsidRDefault="00514485">
          <w:pPr>
            <w:pStyle w:val="TOC2"/>
            <w:tabs>
              <w:tab w:val="right" w:leader="dot" w:pos="9350"/>
            </w:tabs>
            <w:rPr>
              <w:rFonts w:eastAsiaTheme="minorEastAsia"/>
              <w:noProof/>
              <w:kern w:val="2"/>
              <w:sz w:val="24"/>
              <w:szCs w:val="24"/>
              <w14:ligatures w14:val="standardContextual"/>
            </w:rPr>
          </w:pPr>
          <w:hyperlink w:anchor="_Toc155626818" w:history="1">
            <w:r w:rsidRPr="00FE2680">
              <w:rPr>
                <w:rStyle w:val="Hyperlink"/>
                <w:noProof/>
              </w:rPr>
              <w:t>Topic Navigation </w:t>
            </w:r>
            <w:r>
              <w:rPr>
                <w:noProof/>
                <w:webHidden/>
              </w:rPr>
              <w:tab/>
            </w:r>
            <w:r>
              <w:rPr>
                <w:noProof/>
                <w:webHidden/>
              </w:rPr>
              <w:fldChar w:fldCharType="begin"/>
            </w:r>
            <w:r>
              <w:rPr>
                <w:noProof/>
                <w:webHidden/>
              </w:rPr>
              <w:instrText xml:space="preserve"> PAGEREF _Toc155626818 \h </w:instrText>
            </w:r>
            <w:r>
              <w:rPr>
                <w:noProof/>
                <w:webHidden/>
              </w:rPr>
            </w:r>
            <w:r>
              <w:rPr>
                <w:noProof/>
                <w:webHidden/>
              </w:rPr>
              <w:fldChar w:fldCharType="separate"/>
            </w:r>
            <w:r>
              <w:rPr>
                <w:noProof/>
                <w:webHidden/>
              </w:rPr>
              <w:t>5</w:t>
            </w:r>
            <w:r>
              <w:rPr>
                <w:noProof/>
                <w:webHidden/>
              </w:rPr>
              <w:fldChar w:fldCharType="end"/>
            </w:r>
          </w:hyperlink>
        </w:p>
        <w:p w14:paraId="43C36981" w14:textId="44C149A2" w:rsidR="00514485" w:rsidRDefault="00514485">
          <w:pPr>
            <w:pStyle w:val="TOC2"/>
            <w:tabs>
              <w:tab w:val="right" w:leader="dot" w:pos="9350"/>
            </w:tabs>
            <w:rPr>
              <w:rFonts w:eastAsiaTheme="minorEastAsia"/>
              <w:noProof/>
              <w:kern w:val="2"/>
              <w:sz w:val="24"/>
              <w:szCs w:val="24"/>
              <w14:ligatures w14:val="standardContextual"/>
            </w:rPr>
          </w:pPr>
          <w:hyperlink w:anchor="_Toc155626819" w:history="1">
            <w:r w:rsidRPr="00FE2680">
              <w:rPr>
                <w:rStyle w:val="Hyperlink"/>
                <w:rFonts w:eastAsia="Times New Roman"/>
                <w:noProof/>
              </w:rPr>
              <w:t>Topic Dashboard Filters </w:t>
            </w:r>
            <w:r>
              <w:rPr>
                <w:noProof/>
                <w:webHidden/>
              </w:rPr>
              <w:tab/>
            </w:r>
            <w:r>
              <w:rPr>
                <w:noProof/>
                <w:webHidden/>
              </w:rPr>
              <w:fldChar w:fldCharType="begin"/>
            </w:r>
            <w:r>
              <w:rPr>
                <w:noProof/>
                <w:webHidden/>
              </w:rPr>
              <w:instrText xml:space="preserve"> PAGEREF _Toc155626819 \h </w:instrText>
            </w:r>
            <w:r>
              <w:rPr>
                <w:noProof/>
                <w:webHidden/>
              </w:rPr>
            </w:r>
            <w:r>
              <w:rPr>
                <w:noProof/>
                <w:webHidden/>
              </w:rPr>
              <w:fldChar w:fldCharType="separate"/>
            </w:r>
            <w:r>
              <w:rPr>
                <w:noProof/>
                <w:webHidden/>
              </w:rPr>
              <w:t>6</w:t>
            </w:r>
            <w:r>
              <w:rPr>
                <w:noProof/>
                <w:webHidden/>
              </w:rPr>
              <w:fldChar w:fldCharType="end"/>
            </w:r>
          </w:hyperlink>
        </w:p>
        <w:p w14:paraId="3AB34EAF" w14:textId="040525B0" w:rsidR="00514485" w:rsidRDefault="00514485">
          <w:pPr>
            <w:pStyle w:val="TOC2"/>
            <w:tabs>
              <w:tab w:val="right" w:leader="dot" w:pos="9350"/>
            </w:tabs>
            <w:rPr>
              <w:rFonts w:eastAsiaTheme="minorEastAsia"/>
              <w:noProof/>
              <w:kern w:val="2"/>
              <w:sz w:val="24"/>
              <w:szCs w:val="24"/>
              <w14:ligatures w14:val="standardContextual"/>
            </w:rPr>
          </w:pPr>
          <w:hyperlink w:anchor="_Toc155626820" w:history="1">
            <w:r w:rsidRPr="00FE2680">
              <w:rPr>
                <w:rStyle w:val="Hyperlink"/>
                <w:rFonts w:eastAsia="Times New Roman"/>
                <w:noProof/>
              </w:rPr>
              <w:t>Chart Features Overview </w:t>
            </w:r>
            <w:r>
              <w:rPr>
                <w:noProof/>
                <w:webHidden/>
              </w:rPr>
              <w:tab/>
            </w:r>
            <w:r>
              <w:rPr>
                <w:noProof/>
                <w:webHidden/>
              </w:rPr>
              <w:fldChar w:fldCharType="begin"/>
            </w:r>
            <w:r>
              <w:rPr>
                <w:noProof/>
                <w:webHidden/>
              </w:rPr>
              <w:instrText xml:space="preserve"> PAGEREF _Toc155626820 \h </w:instrText>
            </w:r>
            <w:r>
              <w:rPr>
                <w:noProof/>
                <w:webHidden/>
              </w:rPr>
            </w:r>
            <w:r>
              <w:rPr>
                <w:noProof/>
                <w:webHidden/>
              </w:rPr>
              <w:fldChar w:fldCharType="separate"/>
            </w:r>
            <w:r>
              <w:rPr>
                <w:noProof/>
                <w:webHidden/>
              </w:rPr>
              <w:t>11</w:t>
            </w:r>
            <w:r>
              <w:rPr>
                <w:noProof/>
                <w:webHidden/>
              </w:rPr>
              <w:fldChar w:fldCharType="end"/>
            </w:r>
          </w:hyperlink>
        </w:p>
        <w:p w14:paraId="0BDE5ABB" w14:textId="74265C43" w:rsidR="00514485" w:rsidRDefault="00514485">
          <w:pPr>
            <w:pStyle w:val="TOC2"/>
            <w:tabs>
              <w:tab w:val="right" w:leader="dot" w:pos="9350"/>
            </w:tabs>
            <w:rPr>
              <w:rFonts w:eastAsiaTheme="minorEastAsia"/>
              <w:noProof/>
              <w:kern w:val="2"/>
              <w:sz w:val="24"/>
              <w:szCs w:val="24"/>
              <w14:ligatures w14:val="standardContextual"/>
            </w:rPr>
          </w:pPr>
          <w:hyperlink w:anchor="_Toc155626821" w:history="1">
            <w:r w:rsidRPr="00FE2680">
              <w:rPr>
                <w:rStyle w:val="Hyperlink"/>
                <w:rFonts w:eastAsia="Times New Roman"/>
                <w:noProof/>
              </w:rPr>
              <w:t>Dashboard Display Options </w:t>
            </w:r>
            <w:r>
              <w:rPr>
                <w:noProof/>
                <w:webHidden/>
              </w:rPr>
              <w:tab/>
            </w:r>
            <w:r>
              <w:rPr>
                <w:noProof/>
                <w:webHidden/>
              </w:rPr>
              <w:fldChar w:fldCharType="begin"/>
            </w:r>
            <w:r>
              <w:rPr>
                <w:noProof/>
                <w:webHidden/>
              </w:rPr>
              <w:instrText xml:space="preserve"> PAGEREF _Toc155626821 \h </w:instrText>
            </w:r>
            <w:r>
              <w:rPr>
                <w:noProof/>
                <w:webHidden/>
              </w:rPr>
            </w:r>
            <w:r>
              <w:rPr>
                <w:noProof/>
                <w:webHidden/>
              </w:rPr>
              <w:fldChar w:fldCharType="separate"/>
            </w:r>
            <w:r>
              <w:rPr>
                <w:noProof/>
                <w:webHidden/>
              </w:rPr>
              <w:t>16</w:t>
            </w:r>
            <w:r>
              <w:rPr>
                <w:noProof/>
                <w:webHidden/>
              </w:rPr>
              <w:fldChar w:fldCharType="end"/>
            </w:r>
          </w:hyperlink>
        </w:p>
        <w:p w14:paraId="6C4B7286" w14:textId="1A2280C3" w:rsidR="00514485" w:rsidRDefault="00514485">
          <w:pPr>
            <w:pStyle w:val="TOC2"/>
            <w:tabs>
              <w:tab w:val="right" w:leader="dot" w:pos="9350"/>
            </w:tabs>
            <w:rPr>
              <w:rFonts w:eastAsiaTheme="minorEastAsia"/>
              <w:noProof/>
              <w:kern w:val="2"/>
              <w:sz w:val="24"/>
              <w:szCs w:val="24"/>
              <w14:ligatures w14:val="standardContextual"/>
            </w:rPr>
          </w:pPr>
          <w:hyperlink w:anchor="_Toc155626822" w:history="1">
            <w:r w:rsidRPr="00FE2680">
              <w:rPr>
                <w:rStyle w:val="Hyperlink"/>
                <w:rFonts w:eastAsia="Times New Roman"/>
                <w:noProof/>
              </w:rPr>
              <w:t>View Topic Questions </w:t>
            </w:r>
            <w:r>
              <w:rPr>
                <w:noProof/>
                <w:webHidden/>
              </w:rPr>
              <w:tab/>
            </w:r>
            <w:r>
              <w:rPr>
                <w:noProof/>
                <w:webHidden/>
              </w:rPr>
              <w:fldChar w:fldCharType="begin"/>
            </w:r>
            <w:r>
              <w:rPr>
                <w:noProof/>
                <w:webHidden/>
              </w:rPr>
              <w:instrText xml:space="preserve"> PAGEREF _Toc155626822 \h </w:instrText>
            </w:r>
            <w:r>
              <w:rPr>
                <w:noProof/>
                <w:webHidden/>
              </w:rPr>
            </w:r>
            <w:r>
              <w:rPr>
                <w:noProof/>
                <w:webHidden/>
              </w:rPr>
              <w:fldChar w:fldCharType="separate"/>
            </w:r>
            <w:r>
              <w:rPr>
                <w:noProof/>
                <w:webHidden/>
              </w:rPr>
              <w:t>21</w:t>
            </w:r>
            <w:r>
              <w:rPr>
                <w:noProof/>
                <w:webHidden/>
              </w:rPr>
              <w:fldChar w:fldCharType="end"/>
            </w:r>
          </w:hyperlink>
        </w:p>
        <w:p w14:paraId="25758088" w14:textId="6D0F4156" w:rsidR="00514485" w:rsidRDefault="00514485">
          <w:pPr>
            <w:pStyle w:val="TOC2"/>
            <w:tabs>
              <w:tab w:val="right" w:leader="dot" w:pos="9350"/>
            </w:tabs>
            <w:rPr>
              <w:rFonts w:eastAsiaTheme="minorEastAsia"/>
              <w:noProof/>
              <w:kern w:val="2"/>
              <w:sz w:val="24"/>
              <w:szCs w:val="24"/>
              <w14:ligatures w14:val="standardContextual"/>
            </w:rPr>
          </w:pPr>
          <w:hyperlink w:anchor="_Toc155626823" w:history="1">
            <w:r w:rsidRPr="00FE2680">
              <w:rPr>
                <w:rStyle w:val="Hyperlink"/>
                <w:rFonts w:eastAsia="Times New Roman"/>
                <w:noProof/>
              </w:rPr>
              <w:t>Downloading the Data</w:t>
            </w:r>
            <w:r>
              <w:rPr>
                <w:noProof/>
                <w:webHidden/>
              </w:rPr>
              <w:tab/>
            </w:r>
            <w:r>
              <w:rPr>
                <w:noProof/>
                <w:webHidden/>
              </w:rPr>
              <w:fldChar w:fldCharType="begin"/>
            </w:r>
            <w:r>
              <w:rPr>
                <w:noProof/>
                <w:webHidden/>
              </w:rPr>
              <w:instrText xml:space="preserve"> PAGEREF _Toc155626823 \h </w:instrText>
            </w:r>
            <w:r>
              <w:rPr>
                <w:noProof/>
                <w:webHidden/>
              </w:rPr>
            </w:r>
            <w:r>
              <w:rPr>
                <w:noProof/>
                <w:webHidden/>
              </w:rPr>
              <w:fldChar w:fldCharType="separate"/>
            </w:r>
            <w:r>
              <w:rPr>
                <w:noProof/>
                <w:webHidden/>
              </w:rPr>
              <w:t>23</w:t>
            </w:r>
            <w:r>
              <w:rPr>
                <w:noProof/>
                <w:webHidden/>
              </w:rPr>
              <w:fldChar w:fldCharType="end"/>
            </w:r>
          </w:hyperlink>
        </w:p>
        <w:p w14:paraId="27D0B301" w14:textId="299F0E94" w:rsidR="00514485" w:rsidRDefault="00514485">
          <w:pPr>
            <w:pStyle w:val="TOC1"/>
            <w:tabs>
              <w:tab w:val="right" w:leader="dot" w:pos="9350"/>
            </w:tabs>
            <w:rPr>
              <w:rFonts w:eastAsiaTheme="minorEastAsia"/>
              <w:noProof/>
              <w:kern w:val="2"/>
              <w:sz w:val="24"/>
              <w:szCs w:val="24"/>
              <w14:ligatures w14:val="standardContextual"/>
            </w:rPr>
          </w:pPr>
          <w:hyperlink w:anchor="_Toc155626824" w:history="1">
            <w:r w:rsidRPr="00FE2680">
              <w:rPr>
                <w:rStyle w:val="Hyperlink"/>
                <w:rFonts w:eastAsia="Times New Roman"/>
                <w:noProof/>
              </w:rPr>
              <w:t>About the Data</w:t>
            </w:r>
            <w:r>
              <w:rPr>
                <w:noProof/>
                <w:webHidden/>
              </w:rPr>
              <w:tab/>
            </w:r>
            <w:r>
              <w:rPr>
                <w:noProof/>
                <w:webHidden/>
              </w:rPr>
              <w:fldChar w:fldCharType="begin"/>
            </w:r>
            <w:r>
              <w:rPr>
                <w:noProof/>
                <w:webHidden/>
              </w:rPr>
              <w:instrText xml:space="preserve"> PAGEREF _Toc155626824 \h </w:instrText>
            </w:r>
            <w:r>
              <w:rPr>
                <w:noProof/>
                <w:webHidden/>
              </w:rPr>
            </w:r>
            <w:r>
              <w:rPr>
                <w:noProof/>
                <w:webHidden/>
              </w:rPr>
              <w:fldChar w:fldCharType="separate"/>
            </w:r>
            <w:r>
              <w:rPr>
                <w:noProof/>
                <w:webHidden/>
              </w:rPr>
              <w:t>24</w:t>
            </w:r>
            <w:r>
              <w:rPr>
                <w:noProof/>
                <w:webHidden/>
              </w:rPr>
              <w:fldChar w:fldCharType="end"/>
            </w:r>
          </w:hyperlink>
        </w:p>
        <w:p w14:paraId="0C6FFFCA" w14:textId="6175EC9E" w:rsidR="00514485" w:rsidRDefault="00514485">
          <w:pPr>
            <w:pStyle w:val="TOC2"/>
            <w:tabs>
              <w:tab w:val="right" w:leader="dot" w:pos="9350"/>
            </w:tabs>
            <w:rPr>
              <w:rFonts w:eastAsiaTheme="minorEastAsia"/>
              <w:noProof/>
              <w:kern w:val="2"/>
              <w:sz w:val="24"/>
              <w:szCs w:val="24"/>
              <w14:ligatures w14:val="standardContextual"/>
            </w:rPr>
          </w:pPr>
          <w:hyperlink w:anchor="_Toc155626825" w:history="1">
            <w:r w:rsidRPr="00FE2680">
              <w:rPr>
                <w:rStyle w:val="Hyperlink"/>
                <w:rFonts w:eastAsia="Times New Roman"/>
                <w:noProof/>
              </w:rPr>
              <w:t>Technical Data Notes</w:t>
            </w:r>
            <w:r>
              <w:rPr>
                <w:noProof/>
                <w:webHidden/>
              </w:rPr>
              <w:tab/>
            </w:r>
            <w:r>
              <w:rPr>
                <w:noProof/>
                <w:webHidden/>
              </w:rPr>
              <w:fldChar w:fldCharType="begin"/>
            </w:r>
            <w:r>
              <w:rPr>
                <w:noProof/>
                <w:webHidden/>
              </w:rPr>
              <w:instrText xml:space="preserve"> PAGEREF _Toc155626825 \h </w:instrText>
            </w:r>
            <w:r>
              <w:rPr>
                <w:noProof/>
                <w:webHidden/>
              </w:rPr>
            </w:r>
            <w:r>
              <w:rPr>
                <w:noProof/>
                <w:webHidden/>
              </w:rPr>
              <w:fldChar w:fldCharType="separate"/>
            </w:r>
            <w:r>
              <w:rPr>
                <w:noProof/>
                <w:webHidden/>
              </w:rPr>
              <w:t>24</w:t>
            </w:r>
            <w:r>
              <w:rPr>
                <w:noProof/>
                <w:webHidden/>
              </w:rPr>
              <w:fldChar w:fldCharType="end"/>
            </w:r>
          </w:hyperlink>
        </w:p>
        <w:p w14:paraId="3FB4945E" w14:textId="57DA85F6" w:rsidR="00514485" w:rsidRDefault="00514485">
          <w:pPr>
            <w:pStyle w:val="TOC2"/>
            <w:tabs>
              <w:tab w:val="right" w:leader="dot" w:pos="9350"/>
            </w:tabs>
            <w:rPr>
              <w:rFonts w:eastAsiaTheme="minorEastAsia"/>
              <w:noProof/>
              <w:kern w:val="2"/>
              <w:sz w:val="24"/>
              <w:szCs w:val="24"/>
              <w14:ligatures w14:val="standardContextual"/>
            </w:rPr>
          </w:pPr>
          <w:hyperlink w:anchor="_Toc155626826" w:history="1">
            <w:r w:rsidRPr="00FE2680">
              <w:rPr>
                <w:rStyle w:val="Hyperlink"/>
                <w:rFonts w:eastAsia="Times New Roman"/>
                <w:noProof/>
              </w:rPr>
              <w:t>Data Dictionary</w:t>
            </w:r>
            <w:r>
              <w:rPr>
                <w:noProof/>
                <w:webHidden/>
              </w:rPr>
              <w:tab/>
            </w:r>
            <w:r>
              <w:rPr>
                <w:noProof/>
                <w:webHidden/>
              </w:rPr>
              <w:fldChar w:fldCharType="begin"/>
            </w:r>
            <w:r>
              <w:rPr>
                <w:noProof/>
                <w:webHidden/>
              </w:rPr>
              <w:instrText xml:space="preserve"> PAGEREF _Toc155626826 \h </w:instrText>
            </w:r>
            <w:r>
              <w:rPr>
                <w:noProof/>
                <w:webHidden/>
              </w:rPr>
            </w:r>
            <w:r>
              <w:rPr>
                <w:noProof/>
                <w:webHidden/>
              </w:rPr>
              <w:fldChar w:fldCharType="separate"/>
            </w:r>
            <w:r>
              <w:rPr>
                <w:noProof/>
                <w:webHidden/>
              </w:rPr>
              <w:t>28</w:t>
            </w:r>
            <w:r>
              <w:rPr>
                <w:noProof/>
                <w:webHidden/>
              </w:rPr>
              <w:fldChar w:fldCharType="end"/>
            </w:r>
          </w:hyperlink>
        </w:p>
        <w:p w14:paraId="0DACA588" w14:textId="4EECF476" w:rsidR="00514485" w:rsidRDefault="00514485">
          <w:pPr>
            <w:pStyle w:val="TOC1"/>
            <w:tabs>
              <w:tab w:val="right" w:leader="dot" w:pos="9350"/>
            </w:tabs>
            <w:rPr>
              <w:rFonts w:eastAsiaTheme="minorEastAsia"/>
              <w:noProof/>
              <w:kern w:val="2"/>
              <w:sz w:val="24"/>
              <w:szCs w:val="24"/>
              <w14:ligatures w14:val="standardContextual"/>
            </w:rPr>
          </w:pPr>
          <w:hyperlink w:anchor="_Toc155626827" w:history="1">
            <w:r w:rsidRPr="00FE2680">
              <w:rPr>
                <w:rStyle w:val="Hyperlink"/>
                <w:rFonts w:eastAsia="Times New Roman"/>
                <w:noProof/>
              </w:rPr>
              <w:t>Using the Data</w:t>
            </w:r>
            <w:r>
              <w:rPr>
                <w:noProof/>
                <w:webHidden/>
              </w:rPr>
              <w:tab/>
            </w:r>
            <w:r>
              <w:rPr>
                <w:noProof/>
                <w:webHidden/>
              </w:rPr>
              <w:fldChar w:fldCharType="begin"/>
            </w:r>
            <w:r>
              <w:rPr>
                <w:noProof/>
                <w:webHidden/>
              </w:rPr>
              <w:instrText xml:space="preserve"> PAGEREF _Toc155626827 \h </w:instrText>
            </w:r>
            <w:r>
              <w:rPr>
                <w:noProof/>
                <w:webHidden/>
              </w:rPr>
            </w:r>
            <w:r>
              <w:rPr>
                <w:noProof/>
                <w:webHidden/>
              </w:rPr>
              <w:fldChar w:fldCharType="separate"/>
            </w:r>
            <w:r>
              <w:rPr>
                <w:noProof/>
                <w:webHidden/>
              </w:rPr>
              <w:t>29</w:t>
            </w:r>
            <w:r>
              <w:rPr>
                <w:noProof/>
                <w:webHidden/>
              </w:rPr>
              <w:fldChar w:fldCharType="end"/>
            </w:r>
          </w:hyperlink>
        </w:p>
        <w:p w14:paraId="3356FB8B" w14:textId="59BF3B4A" w:rsidR="00514485" w:rsidRDefault="00514485">
          <w:pPr>
            <w:pStyle w:val="TOC2"/>
            <w:tabs>
              <w:tab w:val="right" w:leader="dot" w:pos="9350"/>
            </w:tabs>
            <w:rPr>
              <w:rFonts w:eastAsiaTheme="minorEastAsia"/>
              <w:noProof/>
              <w:kern w:val="2"/>
              <w:sz w:val="24"/>
              <w:szCs w:val="24"/>
              <w14:ligatures w14:val="standardContextual"/>
            </w:rPr>
          </w:pPr>
          <w:hyperlink w:anchor="_Toc155626828" w:history="1">
            <w:r w:rsidRPr="00FE2680">
              <w:rPr>
                <w:rStyle w:val="Hyperlink"/>
                <w:rFonts w:eastAsia="Times New Roman"/>
                <w:noProof/>
              </w:rPr>
              <w:t>Interpreting and Sharing the Data</w:t>
            </w:r>
            <w:r>
              <w:rPr>
                <w:noProof/>
                <w:webHidden/>
              </w:rPr>
              <w:tab/>
            </w:r>
            <w:r>
              <w:rPr>
                <w:noProof/>
                <w:webHidden/>
              </w:rPr>
              <w:fldChar w:fldCharType="begin"/>
            </w:r>
            <w:r>
              <w:rPr>
                <w:noProof/>
                <w:webHidden/>
              </w:rPr>
              <w:instrText xml:space="preserve"> PAGEREF _Toc155626828 \h </w:instrText>
            </w:r>
            <w:r>
              <w:rPr>
                <w:noProof/>
                <w:webHidden/>
              </w:rPr>
            </w:r>
            <w:r>
              <w:rPr>
                <w:noProof/>
                <w:webHidden/>
              </w:rPr>
              <w:fldChar w:fldCharType="separate"/>
            </w:r>
            <w:r>
              <w:rPr>
                <w:noProof/>
                <w:webHidden/>
              </w:rPr>
              <w:t>30</w:t>
            </w:r>
            <w:r>
              <w:rPr>
                <w:noProof/>
                <w:webHidden/>
              </w:rPr>
              <w:fldChar w:fldCharType="end"/>
            </w:r>
          </w:hyperlink>
        </w:p>
        <w:p w14:paraId="2AFCD29F" w14:textId="7DAC5EFB" w:rsidR="00514485" w:rsidRDefault="00514485">
          <w:pPr>
            <w:pStyle w:val="TOC2"/>
            <w:tabs>
              <w:tab w:val="right" w:leader="dot" w:pos="9350"/>
            </w:tabs>
            <w:rPr>
              <w:rFonts w:eastAsiaTheme="minorEastAsia"/>
              <w:noProof/>
              <w:kern w:val="2"/>
              <w:sz w:val="24"/>
              <w:szCs w:val="24"/>
              <w14:ligatures w14:val="standardContextual"/>
            </w:rPr>
          </w:pPr>
          <w:hyperlink w:anchor="_Toc155626829" w:history="1">
            <w:r w:rsidRPr="00FE2680">
              <w:rPr>
                <w:rStyle w:val="Hyperlink"/>
                <w:rFonts w:cstheme="majorHAnsi"/>
                <w:noProof/>
              </w:rPr>
              <w:t>Using Racial Justice Reframing and Data-to-Action</w:t>
            </w:r>
            <w:r>
              <w:rPr>
                <w:noProof/>
                <w:webHidden/>
              </w:rPr>
              <w:tab/>
            </w:r>
            <w:r>
              <w:rPr>
                <w:noProof/>
                <w:webHidden/>
              </w:rPr>
              <w:fldChar w:fldCharType="begin"/>
            </w:r>
            <w:r>
              <w:rPr>
                <w:noProof/>
                <w:webHidden/>
              </w:rPr>
              <w:instrText xml:space="preserve"> PAGEREF _Toc155626829 \h </w:instrText>
            </w:r>
            <w:r>
              <w:rPr>
                <w:noProof/>
                <w:webHidden/>
              </w:rPr>
            </w:r>
            <w:r>
              <w:rPr>
                <w:noProof/>
                <w:webHidden/>
              </w:rPr>
              <w:fldChar w:fldCharType="separate"/>
            </w:r>
            <w:r>
              <w:rPr>
                <w:noProof/>
                <w:webHidden/>
              </w:rPr>
              <w:t>32</w:t>
            </w:r>
            <w:r>
              <w:rPr>
                <w:noProof/>
                <w:webHidden/>
              </w:rPr>
              <w:fldChar w:fldCharType="end"/>
            </w:r>
          </w:hyperlink>
        </w:p>
        <w:p w14:paraId="4028F068" w14:textId="27AFBF86" w:rsidR="00514485" w:rsidRDefault="00514485">
          <w:pPr>
            <w:pStyle w:val="TOC2"/>
            <w:tabs>
              <w:tab w:val="right" w:leader="dot" w:pos="9350"/>
            </w:tabs>
            <w:rPr>
              <w:rFonts w:eastAsiaTheme="minorEastAsia"/>
              <w:noProof/>
              <w:kern w:val="2"/>
              <w:sz w:val="24"/>
              <w:szCs w:val="24"/>
              <w14:ligatures w14:val="standardContextual"/>
            </w:rPr>
          </w:pPr>
          <w:hyperlink w:anchor="_Toc155626830" w:history="1">
            <w:r w:rsidRPr="00FE2680">
              <w:rPr>
                <w:rStyle w:val="Hyperlink"/>
                <w:rFonts w:eastAsia="Times New Roman"/>
                <w:noProof/>
              </w:rPr>
              <w:t>Topic-Specific Information</w:t>
            </w:r>
            <w:r>
              <w:rPr>
                <w:noProof/>
                <w:webHidden/>
              </w:rPr>
              <w:tab/>
            </w:r>
            <w:r>
              <w:rPr>
                <w:noProof/>
                <w:webHidden/>
              </w:rPr>
              <w:fldChar w:fldCharType="begin"/>
            </w:r>
            <w:r>
              <w:rPr>
                <w:noProof/>
                <w:webHidden/>
              </w:rPr>
              <w:instrText xml:space="preserve"> PAGEREF _Toc155626830 \h </w:instrText>
            </w:r>
            <w:r>
              <w:rPr>
                <w:noProof/>
                <w:webHidden/>
              </w:rPr>
            </w:r>
            <w:r>
              <w:rPr>
                <w:noProof/>
                <w:webHidden/>
              </w:rPr>
              <w:fldChar w:fldCharType="separate"/>
            </w:r>
            <w:r>
              <w:rPr>
                <w:noProof/>
                <w:webHidden/>
              </w:rPr>
              <w:t>36</w:t>
            </w:r>
            <w:r>
              <w:rPr>
                <w:noProof/>
                <w:webHidden/>
              </w:rPr>
              <w:fldChar w:fldCharType="end"/>
            </w:r>
          </w:hyperlink>
        </w:p>
        <w:p w14:paraId="7D9BAD07" w14:textId="08191A23" w:rsidR="00514485" w:rsidRDefault="00514485">
          <w:pPr>
            <w:pStyle w:val="TOC1"/>
            <w:tabs>
              <w:tab w:val="right" w:leader="dot" w:pos="9350"/>
            </w:tabs>
            <w:rPr>
              <w:rFonts w:eastAsiaTheme="minorEastAsia"/>
              <w:noProof/>
              <w:kern w:val="2"/>
              <w:sz w:val="24"/>
              <w:szCs w:val="24"/>
              <w14:ligatures w14:val="standardContextual"/>
            </w:rPr>
          </w:pPr>
          <w:hyperlink w:anchor="_Toc155626831" w:history="1">
            <w:r w:rsidRPr="00FE2680">
              <w:rPr>
                <w:rStyle w:val="Hyperlink"/>
                <w:rFonts w:eastAsia="Times New Roman"/>
                <w:noProof/>
              </w:rPr>
              <w:t>Reflection Questions</w:t>
            </w:r>
            <w:r>
              <w:rPr>
                <w:noProof/>
                <w:webHidden/>
              </w:rPr>
              <w:tab/>
            </w:r>
            <w:r>
              <w:rPr>
                <w:noProof/>
                <w:webHidden/>
              </w:rPr>
              <w:fldChar w:fldCharType="begin"/>
            </w:r>
            <w:r>
              <w:rPr>
                <w:noProof/>
                <w:webHidden/>
              </w:rPr>
              <w:instrText xml:space="preserve"> PAGEREF _Toc155626831 \h </w:instrText>
            </w:r>
            <w:r>
              <w:rPr>
                <w:noProof/>
                <w:webHidden/>
              </w:rPr>
            </w:r>
            <w:r>
              <w:rPr>
                <w:noProof/>
                <w:webHidden/>
              </w:rPr>
              <w:fldChar w:fldCharType="separate"/>
            </w:r>
            <w:r>
              <w:rPr>
                <w:noProof/>
                <w:webHidden/>
              </w:rPr>
              <w:t>39</w:t>
            </w:r>
            <w:r>
              <w:rPr>
                <w:noProof/>
                <w:webHidden/>
              </w:rPr>
              <w:fldChar w:fldCharType="end"/>
            </w:r>
          </w:hyperlink>
        </w:p>
        <w:p w14:paraId="64FF1F70" w14:textId="5849F148" w:rsidR="00AF19AD" w:rsidRDefault="00AF19AD">
          <w:r>
            <w:fldChar w:fldCharType="end"/>
          </w:r>
        </w:p>
      </w:sdtContent>
    </w:sdt>
    <w:p w14:paraId="08495662" w14:textId="5FCC1DC1" w:rsidR="0023266D" w:rsidRPr="00AA0FB0" w:rsidRDefault="0023266D" w:rsidP="00AA0FB0">
      <w:pPr>
        <w:rPr>
          <w:rStyle w:val="normaltextrun"/>
          <w:b/>
          <w:bCs/>
          <w:noProof/>
        </w:rPr>
      </w:pPr>
      <w:r>
        <w:rPr>
          <w:rStyle w:val="normaltextrun"/>
          <w:rFonts w:ascii="Calibri Light" w:hAnsi="Calibri Light" w:cs="Calibri Light"/>
          <w:color w:val="2F5496"/>
        </w:rPr>
        <w:br w:type="page"/>
      </w:r>
    </w:p>
    <w:p w14:paraId="7AFD65E0" w14:textId="56B26347" w:rsidR="003F2203" w:rsidRPr="00AF19AD" w:rsidRDefault="001F2D3F" w:rsidP="00AF19AD">
      <w:pPr>
        <w:pStyle w:val="Heading1"/>
      </w:pPr>
      <w:bookmarkStart w:id="0" w:name="_Toc143086295"/>
      <w:bookmarkStart w:id="1" w:name="_Toc155626814"/>
      <w:r w:rsidRPr="00AF19AD">
        <w:rPr>
          <w:rStyle w:val="normaltextrun"/>
        </w:rPr>
        <w:lastRenderedPageBreak/>
        <w:t>Description of the Dashboard</w:t>
      </w:r>
      <w:bookmarkEnd w:id="0"/>
      <w:bookmarkEnd w:id="1"/>
      <w:r w:rsidRPr="00AF19AD">
        <w:rPr>
          <w:rStyle w:val="eop"/>
        </w:rPr>
        <w:t> </w:t>
      </w:r>
    </w:p>
    <w:p w14:paraId="7E640613" w14:textId="77777777" w:rsidR="005D681E" w:rsidRDefault="005D681E" w:rsidP="57051537">
      <w:pPr>
        <w:jc w:val="center"/>
        <w:rPr>
          <w:rStyle w:val="normaltextrun"/>
        </w:rPr>
      </w:pPr>
      <w:bookmarkStart w:id="2" w:name="_Toc143086296"/>
      <w:r w:rsidRPr="00AF19AD">
        <w:rPr>
          <w:noProof/>
        </w:rPr>
        <w:drawing>
          <wp:inline distT="0" distB="0" distL="0" distR="0" wp14:anchorId="2EE95D92" wp14:editId="26CDFF51">
            <wp:extent cx="5220860" cy="2751152"/>
            <wp:effectExtent l="0" t="0" r="0" b="11430"/>
            <wp:docPr id="1476511824" name="Diagram 1" descr="An image of that explains the context, goal, and actions for the dashboard.&#10;The context explains childhood experiences can impact the brain, how it develops, and how someone’s body will respond to stress in the future. Impacts on childhood development have a direct impact on risk-taking behaviors (e.g. substance use) and negative health outcomes (e.g. mental health, chronic disease, etc.) in adulthood. This dashboard shares selected data collected from surveys on Adverse and Positive Childhood Experiences (ACEs and PCEs) among Massachusetts residents by experience and their population groups. &#10;The goal explains DPH developed a dashboard to help users to understand specific experiences in childhood by type of experience and population group identities.&#10;The actions explains DPH is sharing these data to prioritize PCE promotion, ACEs prevention, and ACEs mitigation efforts across the state to increase healthy outcomes for Massachusetts resident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43E87B1" w14:textId="76CF00F1" w:rsidR="001F2D3F" w:rsidRPr="00AF19AD" w:rsidRDefault="001F2D3F" w:rsidP="00AF19AD">
      <w:pPr>
        <w:pStyle w:val="Heading1"/>
      </w:pPr>
      <w:bookmarkStart w:id="3" w:name="_Toc155626815"/>
      <w:r w:rsidRPr="00AF19AD">
        <w:rPr>
          <w:rStyle w:val="normaltextrun"/>
        </w:rPr>
        <w:t>Who is this dashboard for?</w:t>
      </w:r>
      <w:bookmarkEnd w:id="2"/>
      <w:bookmarkEnd w:id="3"/>
      <w:r w:rsidRPr="00AF19AD">
        <w:rPr>
          <w:rStyle w:val="normaltextrun"/>
        </w:rPr>
        <w:t> </w:t>
      </w:r>
      <w:r w:rsidRPr="00AF19AD">
        <w:rPr>
          <w:rStyle w:val="eop"/>
        </w:rPr>
        <w:t> </w:t>
      </w:r>
    </w:p>
    <w:p w14:paraId="0DE85890" w14:textId="3E22C5EC" w:rsidR="001F2D3F" w:rsidRDefault="001F2D3F" w:rsidP="001F2D3F">
      <w:pPr>
        <w:rPr>
          <w:rFonts w:ascii="Segoe UI" w:hAnsi="Segoe UI" w:cs="Segoe UI"/>
          <w:sz w:val="18"/>
          <w:szCs w:val="18"/>
        </w:rPr>
      </w:pPr>
      <w:r>
        <w:rPr>
          <w:rStyle w:val="normaltextrun"/>
          <w:rFonts w:ascii="Calibri" w:hAnsi="Calibri" w:cs="Calibri"/>
        </w:rPr>
        <w:t xml:space="preserve">This dashboard was published on Mass.gov, in coordination with the Population Health Information Tool (PHIT) team. The “user” is meant to be anyone in the public interested in childhood experiences. The user can be a parent or caregiver, youth, community member, community organization employee, community advocate, local board of health staff, state government staff, etc. The purpose of the dashboard is for any user to be able use these data to create action to make a change. Guiding resources to support data-to-action can be found in the </w:t>
      </w:r>
      <w:hyperlink w:anchor="_Using_the_Data" w:tgtFrame="_blank" w:history="1">
        <w:r w:rsidRPr="00101C02">
          <w:rPr>
            <w:rStyle w:val="normaltextrun"/>
            <w:rFonts w:ascii="Calibri" w:hAnsi="Calibri" w:cs="Calibri"/>
            <w:color w:val="0000FF"/>
            <w:u w:val="single"/>
          </w:rPr>
          <w:t>Using the Data</w:t>
        </w:r>
      </w:hyperlink>
      <w:r>
        <w:rPr>
          <w:rStyle w:val="normaltextrun"/>
          <w:rFonts w:ascii="Calibri" w:hAnsi="Calibri" w:cs="Calibri"/>
        </w:rPr>
        <w:t xml:space="preserve"> section. </w:t>
      </w:r>
      <w:r>
        <w:rPr>
          <w:rStyle w:val="eop"/>
          <w:rFonts w:ascii="Calibri" w:hAnsi="Calibri" w:cs="Calibri"/>
        </w:rPr>
        <w:t> </w:t>
      </w:r>
      <w:r w:rsidR="00CB0221">
        <w:rPr>
          <w:rStyle w:val="eop"/>
          <w:rFonts w:ascii="Calibri" w:hAnsi="Calibri" w:cs="Calibri"/>
        </w:rPr>
        <w:t xml:space="preserve">For </w:t>
      </w:r>
      <w:r w:rsidR="000877C0">
        <w:rPr>
          <w:rStyle w:val="eop"/>
          <w:rFonts w:ascii="Calibri" w:hAnsi="Calibri" w:cs="Calibri"/>
        </w:rPr>
        <w:t xml:space="preserve">more </w:t>
      </w:r>
      <w:r w:rsidR="00CB0221">
        <w:rPr>
          <w:rStyle w:val="eop"/>
          <w:rFonts w:ascii="Calibri" w:hAnsi="Calibri" w:cs="Calibri"/>
        </w:rPr>
        <w:t xml:space="preserve">help with this dashboard, </w:t>
      </w:r>
      <w:r w:rsidR="00224D6F">
        <w:rPr>
          <w:rStyle w:val="eop"/>
          <w:rFonts w:ascii="Calibri" w:hAnsi="Calibri" w:cs="Calibri"/>
        </w:rPr>
        <w:t>send an e-mail to the PHIT Team</w:t>
      </w:r>
      <w:r w:rsidR="00C90AC4">
        <w:rPr>
          <w:rStyle w:val="eop"/>
          <w:rFonts w:ascii="Calibri" w:hAnsi="Calibri" w:cs="Calibri"/>
        </w:rPr>
        <w:t>:</w:t>
      </w:r>
      <w:r w:rsidR="003A1741">
        <w:rPr>
          <w:rStyle w:val="eop"/>
          <w:rFonts w:ascii="Calibri" w:hAnsi="Calibri" w:cs="Calibri"/>
        </w:rPr>
        <w:t xml:space="preserve"> </w:t>
      </w:r>
      <w:hyperlink r:id="rId16" w:history="1">
        <w:r w:rsidR="003A1741" w:rsidRPr="003A1741">
          <w:rPr>
            <w:rStyle w:val="Hyperlink"/>
            <w:rFonts w:ascii="Calibri" w:hAnsi="Calibri" w:cs="Calibri"/>
          </w:rPr>
          <w:t>DPH.PHIT@state.ma.us</w:t>
        </w:r>
      </w:hyperlink>
      <w:r w:rsidR="00C90AC4">
        <w:rPr>
          <w:rStyle w:val="eop"/>
          <w:rFonts w:ascii="Calibri" w:hAnsi="Calibri" w:cs="Calibri"/>
        </w:rPr>
        <w:t>.</w:t>
      </w:r>
      <w:r w:rsidR="00CB0221">
        <w:rPr>
          <w:rStyle w:val="eop"/>
          <w:rFonts w:ascii="Calibri" w:hAnsi="Calibri" w:cs="Calibri"/>
        </w:rPr>
        <w:t xml:space="preserve"> </w:t>
      </w:r>
      <w:r w:rsidR="00BB7C67">
        <w:rPr>
          <w:rStyle w:val="eop"/>
          <w:rFonts w:ascii="Calibri" w:hAnsi="Calibri" w:cs="Calibri"/>
        </w:rPr>
        <w:t xml:space="preserve"> </w:t>
      </w:r>
    </w:p>
    <w:p w14:paraId="6E3C1CC9" w14:textId="77777777" w:rsidR="000C09C6" w:rsidRDefault="000C09C6" w:rsidP="55CFD03B">
      <w:pPr>
        <w:rPr>
          <w:rStyle w:val="normaltextrun"/>
          <w:rFonts w:asciiTheme="majorHAnsi" w:eastAsiaTheme="majorEastAsia" w:hAnsiTheme="majorHAnsi" w:cstheme="majorBidi"/>
          <w:color w:val="2F5496" w:themeColor="accent1" w:themeShade="BF"/>
          <w:sz w:val="32"/>
          <w:szCs w:val="32"/>
        </w:rPr>
      </w:pPr>
      <w:bookmarkStart w:id="4" w:name="_Toc143086297"/>
      <w:r w:rsidRPr="55CFD03B">
        <w:rPr>
          <w:rStyle w:val="normaltextrun"/>
        </w:rPr>
        <w:br w:type="page"/>
      </w:r>
    </w:p>
    <w:p w14:paraId="259A35D3" w14:textId="2FD735EA" w:rsidR="001F2D3F" w:rsidRPr="00AF19AD" w:rsidRDefault="001F2D3F" w:rsidP="00AF19AD">
      <w:pPr>
        <w:pStyle w:val="Heading1"/>
      </w:pPr>
      <w:bookmarkStart w:id="5" w:name="_Toc155626816"/>
      <w:r w:rsidRPr="00AF19AD">
        <w:rPr>
          <w:rStyle w:val="normaltextrun"/>
        </w:rPr>
        <w:lastRenderedPageBreak/>
        <w:t>Quick-Start Navigation</w:t>
      </w:r>
      <w:bookmarkEnd w:id="4"/>
      <w:bookmarkEnd w:id="5"/>
      <w:r w:rsidRPr="00AF19AD">
        <w:rPr>
          <w:rStyle w:val="normaltextrun"/>
        </w:rPr>
        <w:t xml:space="preserve"> </w:t>
      </w:r>
      <w:r w:rsidRPr="00AF19AD">
        <w:rPr>
          <w:rStyle w:val="eop"/>
        </w:rPr>
        <w:t> </w:t>
      </w:r>
    </w:p>
    <w:p w14:paraId="280FAB42" w14:textId="5F5AFBC9" w:rsidR="001F2D3F" w:rsidRDefault="001F2D3F" w:rsidP="003515F7">
      <w:pPr>
        <w:rPr>
          <w:rFonts w:ascii="Segoe UI" w:hAnsi="Segoe UI" w:cs="Segoe UI"/>
          <w:sz w:val="18"/>
          <w:szCs w:val="18"/>
        </w:rPr>
      </w:pPr>
      <w:r>
        <w:rPr>
          <w:rStyle w:val="normaltextrun"/>
          <w:rFonts w:ascii="Calibri" w:hAnsi="Calibri" w:cs="Calibri"/>
        </w:rPr>
        <w:t xml:space="preserve">This section provides a quick-start list of how to navigate the dashboard. For more detailed instructions, see </w:t>
      </w:r>
      <w:hyperlink w:anchor="_Dashboard_Features_Overview " w:history="1">
        <w:r w:rsidR="00101C02" w:rsidRPr="00101C02">
          <w:rPr>
            <w:rStyle w:val="Hyperlink"/>
          </w:rPr>
          <w:t>Dashboard Features Overview.</w:t>
        </w:r>
        <w:r w:rsidRPr="00101C02">
          <w:rPr>
            <w:rStyle w:val="Hyperlink"/>
            <w:rFonts w:ascii="Calibri" w:hAnsi="Calibri" w:cs="Calibri"/>
          </w:rPr>
          <w:t> </w:t>
        </w:r>
      </w:hyperlink>
    </w:p>
    <w:p w14:paraId="7C29C104" w14:textId="77777777" w:rsidR="001F2D3F" w:rsidRDefault="001F2D3F" w:rsidP="00AA57D1">
      <w:pPr>
        <w:pStyle w:val="ListParagraph"/>
        <w:numPr>
          <w:ilvl w:val="0"/>
          <w:numId w:val="23"/>
        </w:numPr>
      </w:pPr>
      <w:r w:rsidRPr="003515F7">
        <w:rPr>
          <w:rStyle w:val="normaltextrun"/>
          <w:rFonts w:ascii="Calibri" w:hAnsi="Calibri" w:cs="Calibri"/>
        </w:rPr>
        <w:t>To view information on different types of experiences, select a topic of interest to you from the ten topic tabs at the top of the dashboard page (for example, ‘Positive Childhood Experiences’, ‘Bullying’).</w:t>
      </w:r>
      <w:r w:rsidRPr="003515F7">
        <w:rPr>
          <w:rStyle w:val="eop"/>
          <w:rFonts w:ascii="Calibri" w:hAnsi="Calibri" w:cs="Calibri"/>
        </w:rPr>
        <w:t> </w:t>
      </w:r>
    </w:p>
    <w:p w14:paraId="68DE9F93" w14:textId="77777777" w:rsidR="001F2D3F" w:rsidRDefault="001F2D3F" w:rsidP="00AA57D1">
      <w:pPr>
        <w:pStyle w:val="ListParagraph"/>
        <w:numPr>
          <w:ilvl w:val="0"/>
          <w:numId w:val="23"/>
        </w:numPr>
      </w:pPr>
      <w:r w:rsidRPr="003515F7">
        <w:rPr>
          <w:rStyle w:val="normaltextrun"/>
          <w:rFonts w:ascii="Calibri" w:hAnsi="Calibri" w:cs="Calibri"/>
        </w:rPr>
        <w:t>Within a topic page, to view the prevalence of experiences, first select a Year, a Survey, and a Population Group. Then, select the Experience(s) you are interested in.</w:t>
      </w:r>
      <w:r w:rsidRPr="003515F7">
        <w:rPr>
          <w:rStyle w:val="eop"/>
          <w:rFonts w:ascii="Calibri" w:hAnsi="Calibri" w:cs="Calibri"/>
        </w:rPr>
        <w:t> </w:t>
      </w:r>
    </w:p>
    <w:p w14:paraId="3F9CC49C" w14:textId="7A793E58" w:rsidR="001F2D3F" w:rsidRDefault="00265E73" w:rsidP="00AA57D1">
      <w:pPr>
        <w:pStyle w:val="ListParagraph"/>
        <w:numPr>
          <w:ilvl w:val="0"/>
          <w:numId w:val="23"/>
        </w:numPr>
      </w:pPr>
      <w:r>
        <w:rPr>
          <w:rFonts w:ascii="Calibri" w:hAnsi="Calibri" w:cs="Calibri"/>
        </w:rPr>
        <w:t xml:space="preserve">The surveys have different options available for population groups and experiences. To change your view to a </w:t>
      </w:r>
      <w:r w:rsidR="001F2D3F" w:rsidRPr="003515F7">
        <w:rPr>
          <w:rStyle w:val="normaltextrun"/>
          <w:rFonts w:ascii="Calibri" w:hAnsi="Calibri" w:cs="Calibri"/>
        </w:rPr>
        <w:t>different Year, Survey, and/or Population Group, first select 'Overall' Population Group, then select '(All)' Experience. Then, select the Year, Survey, Population Group, and Experience.</w:t>
      </w:r>
      <w:r w:rsidR="001F2D3F" w:rsidRPr="003515F7">
        <w:rPr>
          <w:rStyle w:val="eop"/>
          <w:rFonts w:ascii="Calibri" w:hAnsi="Calibri" w:cs="Calibri"/>
        </w:rPr>
        <w:t> </w:t>
      </w:r>
    </w:p>
    <w:p w14:paraId="7C2F7853" w14:textId="77777777" w:rsidR="001F2D3F" w:rsidRDefault="001F2D3F" w:rsidP="00AA57D1">
      <w:pPr>
        <w:pStyle w:val="ListParagraph"/>
        <w:numPr>
          <w:ilvl w:val="0"/>
          <w:numId w:val="23"/>
        </w:numPr>
      </w:pPr>
      <w:r w:rsidRPr="003515F7">
        <w:rPr>
          <w:rStyle w:val="normaltextrun"/>
          <w:rFonts w:ascii="Calibri" w:hAnsi="Calibri" w:cs="Calibri"/>
        </w:rPr>
        <w:t xml:space="preserve">Use the </w:t>
      </w:r>
      <w:r w:rsidRPr="003515F7">
        <w:rPr>
          <w:rStyle w:val="normaltextrun"/>
          <w:rFonts w:ascii="Calibri" w:hAnsi="Calibri" w:cs="Calibri"/>
          <w:b/>
          <w:bCs/>
        </w:rPr>
        <w:t>Show or Hide Confidence Interval Option</w:t>
      </w:r>
      <w:r w:rsidRPr="003515F7">
        <w:rPr>
          <w:rStyle w:val="normaltextrun"/>
          <w:rFonts w:ascii="Calibri" w:hAnsi="Calibri" w:cs="Calibri"/>
        </w:rPr>
        <w:t xml:space="preserve"> drop-down menu, to show or hide the Confidence Interval in the displayed chart on the dashboard.</w:t>
      </w:r>
      <w:r w:rsidRPr="003515F7">
        <w:rPr>
          <w:rStyle w:val="eop"/>
          <w:rFonts w:ascii="Calibri" w:hAnsi="Calibri" w:cs="Calibri"/>
        </w:rPr>
        <w:t> </w:t>
      </w:r>
    </w:p>
    <w:p w14:paraId="4427F852" w14:textId="77777777" w:rsidR="001F2D3F" w:rsidRDefault="001F2D3F" w:rsidP="00AA57D1">
      <w:pPr>
        <w:pStyle w:val="ListParagraph"/>
        <w:numPr>
          <w:ilvl w:val="0"/>
          <w:numId w:val="23"/>
        </w:numPr>
      </w:pPr>
      <w:r w:rsidRPr="003515F7">
        <w:rPr>
          <w:rStyle w:val="normaltextrun"/>
          <w:rFonts w:ascii="Calibri" w:hAnsi="Calibri" w:cs="Calibri"/>
        </w:rPr>
        <w:t xml:space="preserve">Use the </w:t>
      </w:r>
      <w:r w:rsidRPr="003515F7">
        <w:rPr>
          <w:rStyle w:val="normaltextrun"/>
          <w:rFonts w:ascii="Calibri" w:hAnsi="Calibri" w:cs="Calibri"/>
          <w:b/>
          <w:bCs/>
        </w:rPr>
        <w:t>Show Information About the Experiences</w:t>
      </w:r>
      <w:r w:rsidRPr="003515F7">
        <w:rPr>
          <w:rStyle w:val="normaltextrun"/>
          <w:rFonts w:ascii="Calibri" w:hAnsi="Calibri" w:cs="Calibri"/>
        </w:rPr>
        <w:t xml:space="preserve"> button to display more information about the selected data to the right of the chart.</w:t>
      </w:r>
      <w:r w:rsidRPr="003515F7">
        <w:rPr>
          <w:rStyle w:val="eop"/>
          <w:rFonts w:ascii="Calibri" w:hAnsi="Calibri" w:cs="Calibri"/>
        </w:rPr>
        <w:t> </w:t>
      </w:r>
    </w:p>
    <w:p w14:paraId="4C6E387B" w14:textId="77777777" w:rsidR="001F2D3F" w:rsidRDefault="001F2D3F" w:rsidP="00AA57D1">
      <w:pPr>
        <w:pStyle w:val="ListParagraph"/>
        <w:numPr>
          <w:ilvl w:val="0"/>
          <w:numId w:val="23"/>
        </w:numPr>
      </w:pPr>
      <w:r w:rsidRPr="003515F7">
        <w:rPr>
          <w:rStyle w:val="normaltextrun"/>
          <w:rFonts w:ascii="Calibri" w:hAnsi="Calibri" w:cs="Calibri"/>
        </w:rPr>
        <w:t xml:space="preserve">Use the </w:t>
      </w:r>
      <w:r w:rsidRPr="003515F7">
        <w:rPr>
          <w:rStyle w:val="normaltextrun"/>
          <w:rFonts w:ascii="Calibri" w:hAnsi="Calibri" w:cs="Calibri"/>
          <w:b/>
          <w:bCs/>
        </w:rPr>
        <w:t>View Topic Questions</w:t>
      </w:r>
      <w:r w:rsidRPr="003515F7">
        <w:rPr>
          <w:rStyle w:val="normaltextrun"/>
          <w:rFonts w:ascii="Calibri" w:hAnsi="Calibri" w:cs="Calibri"/>
        </w:rPr>
        <w:t xml:space="preserve"> button at the bottom of the dashboard topic page to download a document that includes information about the selected population group and experiences and the survey questions for the experiences and populations.</w:t>
      </w:r>
      <w:r w:rsidRPr="003515F7">
        <w:rPr>
          <w:rStyle w:val="eop"/>
          <w:rFonts w:ascii="Calibri" w:hAnsi="Calibri" w:cs="Calibri"/>
        </w:rPr>
        <w:t> </w:t>
      </w:r>
    </w:p>
    <w:p w14:paraId="3B79A698" w14:textId="77777777" w:rsidR="001F2D3F" w:rsidRPr="00AF19AD" w:rsidRDefault="001F2D3F" w:rsidP="00AF19AD">
      <w:pPr>
        <w:pStyle w:val="Heading1"/>
      </w:pPr>
      <w:bookmarkStart w:id="6" w:name="_Dashboard_Features_Overview "/>
      <w:bookmarkStart w:id="7" w:name="_Toc143086298"/>
      <w:bookmarkStart w:id="8" w:name="_Toc155626817"/>
      <w:bookmarkEnd w:id="6"/>
      <w:r w:rsidRPr="00AF19AD">
        <w:rPr>
          <w:rStyle w:val="normaltextrun"/>
        </w:rPr>
        <w:lastRenderedPageBreak/>
        <w:t>Dashboard Features Overview </w:t>
      </w:r>
      <w:bookmarkEnd w:id="7"/>
      <w:bookmarkEnd w:id="8"/>
      <w:r w:rsidRPr="00AF19AD">
        <w:rPr>
          <w:rStyle w:val="eop"/>
        </w:rPr>
        <w:t> </w:t>
      </w:r>
    </w:p>
    <w:p w14:paraId="44F8DBE0" w14:textId="3EE11057" w:rsidR="001F2D3F" w:rsidRDefault="00210E59" w:rsidP="00D262E6">
      <w:pPr>
        <w:pStyle w:val="paragraph"/>
        <w:spacing w:before="0" w:beforeAutospacing="0" w:after="0" w:afterAutospacing="0"/>
        <w:ind w:left="360"/>
        <w:textAlignment w:val="baseline"/>
        <w:rPr>
          <w:rFonts w:ascii="Segoe UI" w:hAnsi="Segoe UI" w:cs="Segoe UI"/>
          <w:sz w:val="18"/>
          <w:szCs w:val="18"/>
        </w:rPr>
      </w:pPr>
      <w:r>
        <w:rPr>
          <w:noProof/>
        </w:rPr>
        <w:drawing>
          <wp:inline distT="0" distB="0" distL="0" distR="0" wp14:anchorId="5B3CB158" wp14:editId="426C71B5">
            <wp:extent cx="4699000" cy="5151831"/>
            <wp:effectExtent l="19050" t="19050" r="25400" b="10795"/>
            <wp:docPr id="2012130075" name="Picture 1" descr="An image of the ACEs and PCEs dashboard showing an example of an overall experience population tooltip in the chart area of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30075" name="Picture 1" descr="An image of the ACEs and PCEs dashboard showing an example of an overall experience population tooltip in the chart area of a topic dashboard."/>
                    <pic:cNvPicPr/>
                  </pic:nvPicPr>
                  <pic:blipFill>
                    <a:blip r:embed="rId17"/>
                    <a:stretch>
                      <a:fillRect/>
                    </a:stretch>
                  </pic:blipFill>
                  <pic:spPr>
                    <a:xfrm>
                      <a:off x="0" y="0"/>
                      <a:ext cx="4711224" cy="5165233"/>
                    </a:xfrm>
                    <a:prstGeom prst="rect">
                      <a:avLst/>
                    </a:prstGeom>
                    <a:ln w="3175">
                      <a:solidFill>
                        <a:schemeClr val="tx1"/>
                      </a:solidFill>
                    </a:ln>
                  </pic:spPr>
                </pic:pic>
              </a:graphicData>
            </a:graphic>
          </wp:inline>
        </w:drawing>
      </w:r>
    </w:p>
    <w:p w14:paraId="5D882DF9" w14:textId="79F52ACA" w:rsidR="00461B6D" w:rsidRPr="00461B6D" w:rsidRDefault="00461B6D" w:rsidP="57051537">
      <w:pPr>
        <w:pStyle w:val="ListParagraph"/>
        <w:ind w:left="1080"/>
        <w:rPr>
          <w:rStyle w:val="normaltextrun"/>
        </w:rPr>
      </w:pPr>
    </w:p>
    <w:p w14:paraId="4BEF5B64" w14:textId="22B38F2B" w:rsidR="003515F7" w:rsidRDefault="001F2D3F" w:rsidP="006015A7">
      <w:pPr>
        <w:pStyle w:val="ListParagraph"/>
        <w:numPr>
          <w:ilvl w:val="0"/>
          <w:numId w:val="2"/>
        </w:numPr>
      </w:pPr>
      <w:r w:rsidRPr="003515F7">
        <w:rPr>
          <w:rStyle w:val="normaltextrun"/>
          <w:rFonts w:ascii="Calibri" w:hAnsi="Calibri" w:cs="Calibri"/>
        </w:rPr>
        <w:t>At the top of the dashboard application are tabs. Each tab contains a dashboard for each of the ACEs and PCEs topic. Each topic dashboard contains:</w:t>
      </w:r>
      <w:r w:rsidRPr="57051537">
        <w:rPr>
          <w:rStyle w:val="normaltextrun"/>
          <w:rFonts w:ascii="Calibri" w:hAnsi="Calibri" w:cs="Calibri"/>
        </w:rPr>
        <w:t> </w:t>
      </w:r>
      <w:r w:rsidRPr="003515F7">
        <w:rPr>
          <w:rStyle w:val="eop"/>
          <w:rFonts w:ascii="Calibri" w:hAnsi="Calibri" w:cs="Calibri"/>
        </w:rPr>
        <w:t> </w:t>
      </w:r>
    </w:p>
    <w:p w14:paraId="0DD59EF0" w14:textId="77777777" w:rsidR="003515F7" w:rsidRDefault="001F2D3F" w:rsidP="006015A7">
      <w:pPr>
        <w:pStyle w:val="ListParagraph"/>
        <w:numPr>
          <w:ilvl w:val="1"/>
          <w:numId w:val="2"/>
        </w:numPr>
      </w:pPr>
      <w:r w:rsidRPr="003515F7">
        <w:rPr>
          <w:rStyle w:val="normaltextrun"/>
          <w:rFonts w:ascii="Calibri" w:hAnsi="Calibri" w:cs="Calibri"/>
        </w:rPr>
        <w:t>a title that includes the ACEs and PCEs topic. </w:t>
      </w:r>
      <w:r w:rsidRPr="003515F7">
        <w:rPr>
          <w:rStyle w:val="eop"/>
          <w:rFonts w:ascii="Calibri" w:hAnsi="Calibri" w:cs="Calibri"/>
        </w:rPr>
        <w:t> </w:t>
      </w:r>
    </w:p>
    <w:p w14:paraId="0F133971" w14:textId="77777777" w:rsidR="003515F7" w:rsidRDefault="001F2D3F" w:rsidP="006015A7">
      <w:pPr>
        <w:pStyle w:val="ListParagraph"/>
        <w:numPr>
          <w:ilvl w:val="1"/>
          <w:numId w:val="2"/>
        </w:numPr>
      </w:pPr>
      <w:r w:rsidRPr="003515F7">
        <w:rPr>
          <w:rStyle w:val="normaltextrun"/>
          <w:rFonts w:ascii="Calibri" w:hAnsi="Calibri" w:cs="Calibri"/>
        </w:rPr>
        <w:t>a description of the topic dashboard. </w:t>
      </w:r>
      <w:r w:rsidRPr="003515F7">
        <w:rPr>
          <w:rStyle w:val="eop"/>
          <w:rFonts w:ascii="Calibri" w:hAnsi="Calibri" w:cs="Calibri"/>
        </w:rPr>
        <w:t> </w:t>
      </w:r>
    </w:p>
    <w:p w14:paraId="7DB316E0" w14:textId="3EDD238D" w:rsidR="002E718C" w:rsidRPr="002E718C" w:rsidRDefault="002E718C" w:rsidP="002E718C">
      <w:pPr>
        <w:pStyle w:val="ListParagraph"/>
        <w:numPr>
          <w:ilvl w:val="1"/>
          <w:numId w:val="2"/>
        </w:numPr>
        <w:tabs>
          <w:tab w:val="clear" w:pos="1440"/>
        </w:tabs>
        <w:rPr>
          <w:rStyle w:val="normaltextrun"/>
        </w:rPr>
      </w:pPr>
      <w:r>
        <w:rPr>
          <w:rStyle w:val="eop"/>
          <w:rFonts w:ascii="Calibri" w:hAnsi="Calibri" w:cs="Calibri"/>
        </w:rPr>
        <w:t>information about race and health equity data interpretation.</w:t>
      </w:r>
    </w:p>
    <w:p w14:paraId="4263960F" w14:textId="41A8A447" w:rsidR="003515F7" w:rsidRDefault="001F2D3F" w:rsidP="002E718C">
      <w:pPr>
        <w:pStyle w:val="ListParagraph"/>
        <w:numPr>
          <w:ilvl w:val="1"/>
          <w:numId w:val="2"/>
        </w:numPr>
      </w:pPr>
      <w:r w:rsidRPr="003515F7">
        <w:rPr>
          <w:rStyle w:val="normaltextrun"/>
          <w:rFonts w:ascii="Calibri" w:hAnsi="Calibri" w:cs="Calibri"/>
        </w:rPr>
        <w:t>quick instructions for using the topic dashboard. </w:t>
      </w:r>
      <w:r w:rsidRPr="003515F7">
        <w:rPr>
          <w:rStyle w:val="eop"/>
          <w:rFonts w:ascii="Calibri" w:hAnsi="Calibri" w:cs="Calibri"/>
        </w:rPr>
        <w:t> </w:t>
      </w:r>
    </w:p>
    <w:p w14:paraId="5F0C9043" w14:textId="77777777" w:rsidR="003515F7" w:rsidRDefault="001F2D3F" w:rsidP="002E718C">
      <w:pPr>
        <w:pStyle w:val="ListParagraph"/>
        <w:numPr>
          <w:ilvl w:val="1"/>
          <w:numId w:val="2"/>
        </w:numPr>
      </w:pPr>
      <w:r w:rsidRPr="003515F7">
        <w:rPr>
          <w:rStyle w:val="normaltextrun"/>
          <w:rFonts w:ascii="Calibri" w:hAnsi="Calibri" w:cs="Calibri"/>
        </w:rPr>
        <w:t>a set of drop-down menus for filtering the data on the chart. </w:t>
      </w:r>
      <w:r w:rsidRPr="003515F7">
        <w:rPr>
          <w:rStyle w:val="eop"/>
          <w:rFonts w:ascii="Calibri" w:hAnsi="Calibri" w:cs="Calibri"/>
        </w:rPr>
        <w:t> </w:t>
      </w:r>
    </w:p>
    <w:p w14:paraId="40D4BAAB" w14:textId="77777777" w:rsidR="003515F7" w:rsidRPr="003515F7" w:rsidRDefault="001F2D3F" w:rsidP="002E718C">
      <w:pPr>
        <w:pStyle w:val="ListParagraph"/>
        <w:numPr>
          <w:ilvl w:val="1"/>
          <w:numId w:val="2"/>
        </w:numPr>
        <w:rPr>
          <w:rStyle w:val="eop"/>
          <w:rFonts w:ascii="Calibri" w:hAnsi="Calibri" w:cs="Calibri"/>
        </w:rPr>
      </w:pPr>
      <w:r w:rsidRPr="003515F7">
        <w:rPr>
          <w:rStyle w:val="normaltextrun"/>
          <w:rFonts w:ascii="Calibri" w:hAnsi="Calibri" w:cs="Calibri"/>
        </w:rPr>
        <w:t>a color legend for the chart. </w:t>
      </w:r>
    </w:p>
    <w:p w14:paraId="289A59BA" w14:textId="77777777" w:rsidR="003515F7" w:rsidRDefault="001F2D3F" w:rsidP="002E718C">
      <w:pPr>
        <w:pStyle w:val="ListParagraph"/>
        <w:numPr>
          <w:ilvl w:val="1"/>
          <w:numId w:val="2"/>
        </w:numPr>
      </w:pPr>
      <w:r w:rsidRPr="003515F7">
        <w:rPr>
          <w:rStyle w:val="normaltextrun"/>
          <w:rFonts w:ascii="Calibri" w:hAnsi="Calibri" w:cs="Calibri"/>
        </w:rPr>
        <w:t>a set of drop-down menus for display options on the dashboard. </w:t>
      </w:r>
      <w:r w:rsidRPr="003515F7">
        <w:rPr>
          <w:rStyle w:val="eop"/>
          <w:rFonts w:ascii="Calibri" w:hAnsi="Calibri" w:cs="Calibri"/>
        </w:rPr>
        <w:t> </w:t>
      </w:r>
    </w:p>
    <w:p w14:paraId="56ED12DD" w14:textId="77777777" w:rsidR="003515F7" w:rsidRDefault="001F2D3F" w:rsidP="002E718C">
      <w:pPr>
        <w:pStyle w:val="ListParagraph"/>
        <w:numPr>
          <w:ilvl w:val="1"/>
          <w:numId w:val="2"/>
        </w:numPr>
      </w:pPr>
      <w:r w:rsidRPr="003515F7">
        <w:rPr>
          <w:rStyle w:val="normaltextrun"/>
          <w:rFonts w:ascii="Calibri" w:hAnsi="Calibri" w:cs="Calibri"/>
        </w:rPr>
        <w:t>a bar chart of the topic data. </w:t>
      </w:r>
      <w:r w:rsidRPr="003515F7">
        <w:rPr>
          <w:rStyle w:val="eop"/>
          <w:rFonts w:ascii="Calibri" w:hAnsi="Calibri" w:cs="Calibri"/>
        </w:rPr>
        <w:t> </w:t>
      </w:r>
    </w:p>
    <w:p w14:paraId="2DE55638" w14:textId="77777777" w:rsidR="003515F7" w:rsidRDefault="001F2D3F" w:rsidP="002E718C">
      <w:pPr>
        <w:pStyle w:val="ListParagraph"/>
        <w:numPr>
          <w:ilvl w:val="1"/>
          <w:numId w:val="2"/>
        </w:numPr>
      </w:pPr>
      <w:r w:rsidRPr="003515F7">
        <w:rPr>
          <w:rStyle w:val="normaltextrun"/>
          <w:rFonts w:ascii="Calibri" w:hAnsi="Calibri" w:cs="Calibri"/>
        </w:rPr>
        <w:t>a section for the bar chart data notes. </w:t>
      </w:r>
      <w:r w:rsidRPr="003515F7">
        <w:rPr>
          <w:rStyle w:val="eop"/>
          <w:rFonts w:ascii="Calibri" w:hAnsi="Calibri" w:cs="Calibri"/>
        </w:rPr>
        <w:t> </w:t>
      </w:r>
    </w:p>
    <w:p w14:paraId="26240195" w14:textId="77777777" w:rsidR="003515F7" w:rsidRDefault="001F2D3F" w:rsidP="002E718C">
      <w:pPr>
        <w:pStyle w:val="ListParagraph"/>
        <w:numPr>
          <w:ilvl w:val="1"/>
          <w:numId w:val="2"/>
        </w:numPr>
      </w:pPr>
      <w:r w:rsidRPr="003515F7">
        <w:rPr>
          <w:rStyle w:val="normaltextrun"/>
          <w:rFonts w:ascii="Calibri" w:hAnsi="Calibri" w:cs="Calibri"/>
        </w:rPr>
        <w:t>a section for the topic dashboard footnotes with date the data was updated and the data source. </w:t>
      </w:r>
      <w:r w:rsidRPr="003515F7">
        <w:rPr>
          <w:rStyle w:val="eop"/>
          <w:rFonts w:ascii="Calibri" w:hAnsi="Calibri" w:cs="Calibri"/>
        </w:rPr>
        <w:t> </w:t>
      </w:r>
    </w:p>
    <w:p w14:paraId="3DC013AB" w14:textId="6FBFA4D9" w:rsidR="001F2D3F" w:rsidRPr="003515F7" w:rsidRDefault="001F2D3F" w:rsidP="002E718C">
      <w:pPr>
        <w:pStyle w:val="ListParagraph"/>
        <w:numPr>
          <w:ilvl w:val="1"/>
          <w:numId w:val="2"/>
        </w:numPr>
      </w:pPr>
      <w:r w:rsidRPr="003515F7">
        <w:rPr>
          <w:rStyle w:val="normaltextrun"/>
          <w:rFonts w:ascii="Calibri" w:hAnsi="Calibri" w:cs="Calibri"/>
        </w:rPr>
        <w:t>a button to view the topic questions.</w:t>
      </w:r>
      <w:r w:rsidRPr="003515F7">
        <w:rPr>
          <w:rStyle w:val="eop"/>
          <w:rFonts w:ascii="Calibri" w:hAnsi="Calibri" w:cs="Calibri"/>
        </w:rPr>
        <w:t> </w:t>
      </w:r>
    </w:p>
    <w:p w14:paraId="0CBF56EC" w14:textId="77777777" w:rsidR="001F2D3F" w:rsidRPr="00AF19AD" w:rsidRDefault="001F2D3F" w:rsidP="00AF19AD">
      <w:pPr>
        <w:pStyle w:val="Heading2"/>
      </w:pPr>
      <w:bookmarkStart w:id="9" w:name="_Toc143086299"/>
      <w:bookmarkStart w:id="10" w:name="_Toc155626818"/>
      <w:r w:rsidRPr="00AF19AD">
        <w:rPr>
          <w:rStyle w:val="normaltextrun"/>
        </w:rPr>
        <w:lastRenderedPageBreak/>
        <w:t>Topic Navigation </w:t>
      </w:r>
      <w:bookmarkEnd w:id="9"/>
      <w:bookmarkEnd w:id="10"/>
      <w:r w:rsidRPr="00AF19AD">
        <w:rPr>
          <w:rStyle w:val="eop"/>
        </w:rPr>
        <w:t> </w:t>
      </w:r>
    </w:p>
    <w:p w14:paraId="2376605F" w14:textId="5267DD81" w:rsidR="001F2D3F" w:rsidRDefault="0064390F" w:rsidP="001F2D3F">
      <w:pPr>
        <w:pStyle w:val="paragraph"/>
        <w:spacing w:before="0" w:beforeAutospacing="0" w:after="0" w:afterAutospacing="0"/>
        <w:textAlignment w:val="baseline"/>
        <w:rPr>
          <w:rFonts w:ascii="Segoe UI" w:hAnsi="Segoe UI" w:cs="Segoe UI"/>
          <w:sz w:val="18"/>
          <w:szCs w:val="18"/>
        </w:rPr>
      </w:pPr>
      <w:r w:rsidRPr="0064390F">
        <w:rPr>
          <w:rStyle w:val="normaltextrun"/>
          <w:rFonts w:ascii="Calibri" w:hAnsi="Calibri" w:cs="Calibri"/>
          <w:noProof/>
          <w:sz w:val="22"/>
          <w:szCs w:val="22"/>
        </w:rPr>
        <w:drawing>
          <wp:inline distT="0" distB="0" distL="0" distR="0" wp14:anchorId="75A971B5" wp14:editId="3EA31750">
            <wp:extent cx="5943600" cy="1536700"/>
            <wp:effectExtent l="19050" t="19050" r="19050" b="25400"/>
            <wp:docPr id="1991458046" name="Picture 3" descr="An image of the ACEs and PCEs dashboard showing an example of an overall experience population tooltip in the chart area of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58046" name="Picture 3" descr="An image of the ACEs and PCEs dashboard showing an example of an overall experience population tooltip in the chart area of a topic dashboard."/>
                    <pic:cNvPicPr/>
                  </pic:nvPicPr>
                  <pic:blipFill>
                    <a:blip r:embed="rId18"/>
                    <a:stretch>
                      <a:fillRect/>
                    </a:stretch>
                  </pic:blipFill>
                  <pic:spPr>
                    <a:xfrm>
                      <a:off x="0" y="0"/>
                      <a:ext cx="5943600" cy="1536700"/>
                    </a:xfrm>
                    <a:prstGeom prst="rect">
                      <a:avLst/>
                    </a:prstGeom>
                    <a:ln w="3175">
                      <a:solidFill>
                        <a:schemeClr val="tx1"/>
                      </a:solidFill>
                    </a:ln>
                  </pic:spPr>
                </pic:pic>
              </a:graphicData>
            </a:graphic>
          </wp:inline>
        </w:drawing>
      </w:r>
      <w:r w:rsidR="001F2D3F" w:rsidRPr="6B0765E0">
        <w:rPr>
          <w:rStyle w:val="normaltextrun"/>
          <w:rFonts w:ascii="Calibri" w:hAnsi="Calibri" w:cs="Calibri"/>
          <w:sz w:val="22"/>
          <w:szCs w:val="22"/>
        </w:rPr>
        <w:t> </w:t>
      </w:r>
      <w:r w:rsidR="001F2D3F" w:rsidRPr="6B0765E0">
        <w:rPr>
          <w:rStyle w:val="eop"/>
          <w:rFonts w:ascii="Calibri" w:hAnsi="Calibri" w:cs="Calibri"/>
          <w:sz w:val="22"/>
          <w:szCs w:val="22"/>
        </w:rPr>
        <w:t> </w:t>
      </w:r>
    </w:p>
    <w:p w14:paraId="0F5BDEAD" w14:textId="77777777" w:rsidR="001F2D3F" w:rsidRDefault="001F2D3F" w:rsidP="003515F7">
      <w:pPr>
        <w:rPr>
          <w:rFonts w:ascii="Segoe UI" w:hAnsi="Segoe UI" w:cs="Segoe UI"/>
          <w:sz w:val="18"/>
          <w:szCs w:val="18"/>
        </w:rPr>
      </w:pPr>
      <w:r>
        <w:rPr>
          <w:rStyle w:val="normaltextrun"/>
          <w:rFonts w:ascii="Calibri" w:hAnsi="Calibri" w:cs="Calibri"/>
        </w:rPr>
        <w:t>There are two ways to select and view a topic dashboard. </w:t>
      </w:r>
      <w:r>
        <w:rPr>
          <w:rStyle w:val="eop"/>
          <w:rFonts w:ascii="Calibri" w:hAnsi="Calibri" w:cs="Calibri"/>
        </w:rPr>
        <w:t> </w:t>
      </w:r>
    </w:p>
    <w:p w14:paraId="527A553C" w14:textId="77777777" w:rsidR="001F2D3F" w:rsidRDefault="001F2D3F" w:rsidP="003515F7">
      <w:pPr>
        <w:rPr>
          <w:rFonts w:ascii="Segoe UI" w:hAnsi="Segoe UI" w:cs="Segoe UI"/>
          <w:sz w:val="18"/>
          <w:szCs w:val="18"/>
        </w:rPr>
      </w:pPr>
      <w:r>
        <w:rPr>
          <w:rStyle w:val="normaltextrun"/>
          <w:rFonts w:ascii="Calibri" w:hAnsi="Calibri" w:cs="Calibri"/>
        </w:rPr>
        <w:t>One way is to: </w:t>
      </w:r>
      <w:r>
        <w:rPr>
          <w:rStyle w:val="eop"/>
          <w:rFonts w:ascii="Calibri" w:hAnsi="Calibri" w:cs="Calibri"/>
        </w:rPr>
        <w:t> </w:t>
      </w:r>
    </w:p>
    <w:p w14:paraId="3A24B617" w14:textId="77777777" w:rsidR="001F2D3F" w:rsidRDefault="001F2D3F" w:rsidP="006015A7">
      <w:pPr>
        <w:pStyle w:val="ListParagraph"/>
        <w:numPr>
          <w:ilvl w:val="0"/>
          <w:numId w:val="3"/>
        </w:numPr>
      </w:pPr>
      <w:r w:rsidRPr="003515F7">
        <w:rPr>
          <w:rStyle w:val="normaltextrun"/>
          <w:rFonts w:ascii="Calibri" w:hAnsi="Calibri" w:cs="Calibri"/>
        </w:rPr>
        <w:t>Select the drop-down arrow on the top left corner of the dashboard. </w:t>
      </w:r>
      <w:r w:rsidRPr="003515F7">
        <w:rPr>
          <w:rStyle w:val="eop"/>
          <w:rFonts w:ascii="Calibri" w:hAnsi="Calibri" w:cs="Calibri"/>
        </w:rPr>
        <w:t> </w:t>
      </w:r>
    </w:p>
    <w:p w14:paraId="2D6A5B49" w14:textId="77777777" w:rsidR="001F2D3F" w:rsidRDefault="001F2D3F" w:rsidP="006015A7">
      <w:pPr>
        <w:pStyle w:val="ListParagraph"/>
        <w:numPr>
          <w:ilvl w:val="0"/>
          <w:numId w:val="3"/>
        </w:numPr>
      </w:pPr>
      <w:r w:rsidRPr="003515F7">
        <w:rPr>
          <w:rStyle w:val="normaltextrun"/>
          <w:rFonts w:ascii="Calibri" w:hAnsi="Calibri" w:cs="Calibri"/>
        </w:rPr>
        <w:t>Then select the topic from the drop-down list. </w:t>
      </w:r>
      <w:r w:rsidRPr="003515F7">
        <w:rPr>
          <w:rStyle w:val="eop"/>
          <w:rFonts w:ascii="Calibri" w:hAnsi="Calibri" w:cs="Calibri"/>
        </w:rPr>
        <w:t> </w:t>
      </w:r>
    </w:p>
    <w:p w14:paraId="643CCB92" w14:textId="77777777" w:rsidR="001F2D3F" w:rsidRDefault="001F2D3F" w:rsidP="003515F7">
      <w:pPr>
        <w:rPr>
          <w:rFonts w:ascii="Segoe UI" w:hAnsi="Segoe UI" w:cs="Segoe UI"/>
          <w:sz w:val="18"/>
          <w:szCs w:val="18"/>
        </w:rPr>
      </w:pPr>
      <w:r>
        <w:rPr>
          <w:rStyle w:val="normaltextrun"/>
          <w:rFonts w:ascii="Calibri" w:hAnsi="Calibri" w:cs="Calibri"/>
        </w:rPr>
        <w:t>The other way is to: </w:t>
      </w:r>
      <w:r>
        <w:rPr>
          <w:rStyle w:val="eop"/>
          <w:rFonts w:ascii="Calibri" w:hAnsi="Calibri" w:cs="Calibri"/>
        </w:rPr>
        <w:t> </w:t>
      </w:r>
    </w:p>
    <w:p w14:paraId="0B5A87E5" w14:textId="77777777" w:rsidR="001F2D3F" w:rsidRDefault="001F2D3F" w:rsidP="006015A7">
      <w:pPr>
        <w:pStyle w:val="ListParagraph"/>
        <w:numPr>
          <w:ilvl w:val="0"/>
          <w:numId w:val="3"/>
        </w:numPr>
      </w:pPr>
      <w:r w:rsidRPr="003515F7">
        <w:rPr>
          <w:rStyle w:val="normaltextrun"/>
          <w:rFonts w:ascii="Calibri" w:hAnsi="Calibri" w:cs="Calibri"/>
        </w:rPr>
        <w:t>Select the greater sign on the top right corner of the dashboard. </w:t>
      </w:r>
      <w:r w:rsidRPr="003515F7">
        <w:rPr>
          <w:rStyle w:val="eop"/>
          <w:rFonts w:ascii="Calibri" w:hAnsi="Calibri" w:cs="Calibri"/>
        </w:rPr>
        <w:t> </w:t>
      </w:r>
    </w:p>
    <w:p w14:paraId="2B1C063A" w14:textId="77777777" w:rsidR="001F2D3F" w:rsidRDefault="001F2D3F" w:rsidP="006015A7">
      <w:pPr>
        <w:pStyle w:val="ListParagraph"/>
        <w:numPr>
          <w:ilvl w:val="0"/>
          <w:numId w:val="3"/>
        </w:numPr>
      </w:pPr>
      <w:r w:rsidRPr="003515F7">
        <w:rPr>
          <w:rStyle w:val="normaltextrun"/>
          <w:rFonts w:ascii="Calibri" w:hAnsi="Calibri" w:cs="Calibri"/>
        </w:rPr>
        <w:t>Then select the tab for the topic at the top of the dashboard. </w:t>
      </w:r>
      <w:r w:rsidRPr="003515F7">
        <w:rPr>
          <w:rStyle w:val="eop"/>
          <w:rFonts w:ascii="Calibri" w:hAnsi="Calibri" w:cs="Calibri"/>
        </w:rPr>
        <w:t> </w:t>
      </w:r>
    </w:p>
    <w:p w14:paraId="7567D941" w14:textId="129343E1" w:rsidR="00880F8D" w:rsidRDefault="00880F8D" w:rsidP="003515F7">
      <w:r>
        <w:rPr>
          <w:rStyle w:val="normaltextrun"/>
          <w:rFonts w:ascii="Calibri" w:hAnsi="Calibri" w:cs="Calibri"/>
          <w:color w:val="000000"/>
          <w:shd w:val="clear" w:color="auto" w:fill="FFFFFF"/>
        </w:rPr>
        <w:t>The following are the topic options available to users:</w:t>
      </w:r>
      <w:r>
        <w:rPr>
          <w:rStyle w:val="eop"/>
          <w:rFonts w:ascii="Calibri" w:hAnsi="Calibri" w:cs="Calibri"/>
          <w:color w:val="000000"/>
          <w:shd w:val="clear" w:color="auto" w:fill="FFFFFF"/>
        </w:rPr>
        <w:t> </w:t>
      </w:r>
    </w:p>
    <w:p w14:paraId="05A8A780" w14:textId="3445D0CB" w:rsidR="00880F8D" w:rsidRDefault="00880F8D" w:rsidP="006015A7">
      <w:pPr>
        <w:pStyle w:val="ListParagraph"/>
        <w:numPr>
          <w:ilvl w:val="0"/>
          <w:numId w:val="4"/>
        </w:numPr>
      </w:pPr>
      <w:r w:rsidRPr="003515F7">
        <w:rPr>
          <w:rStyle w:val="normaltextrun"/>
          <w:rFonts w:ascii="Calibri" w:hAnsi="Calibri" w:cs="Calibri"/>
        </w:rPr>
        <w:t>Positive Childhood Experiences</w:t>
      </w:r>
      <w:r w:rsidRPr="003515F7">
        <w:rPr>
          <w:rStyle w:val="eop"/>
          <w:rFonts w:ascii="Calibri" w:hAnsi="Calibri" w:cs="Calibri"/>
        </w:rPr>
        <w:t> </w:t>
      </w:r>
    </w:p>
    <w:p w14:paraId="322E9B70" w14:textId="77777777" w:rsidR="00880F8D" w:rsidRDefault="00880F8D" w:rsidP="006015A7">
      <w:pPr>
        <w:pStyle w:val="ListParagraph"/>
        <w:numPr>
          <w:ilvl w:val="0"/>
          <w:numId w:val="4"/>
        </w:numPr>
      </w:pPr>
      <w:r w:rsidRPr="003515F7">
        <w:rPr>
          <w:rStyle w:val="normaltextrun"/>
          <w:rFonts w:ascii="Calibri" w:hAnsi="Calibri" w:cs="Calibri"/>
        </w:rPr>
        <w:t>Bullying</w:t>
      </w:r>
      <w:r w:rsidRPr="003515F7">
        <w:rPr>
          <w:rStyle w:val="eop"/>
          <w:rFonts w:ascii="Calibri" w:hAnsi="Calibri" w:cs="Calibri"/>
        </w:rPr>
        <w:t> </w:t>
      </w:r>
    </w:p>
    <w:p w14:paraId="410DEB88" w14:textId="77777777" w:rsidR="00880F8D" w:rsidRDefault="00880F8D" w:rsidP="006015A7">
      <w:pPr>
        <w:pStyle w:val="ListParagraph"/>
        <w:numPr>
          <w:ilvl w:val="0"/>
          <w:numId w:val="4"/>
        </w:numPr>
      </w:pPr>
      <w:r w:rsidRPr="003515F7">
        <w:rPr>
          <w:rStyle w:val="normaltextrun"/>
          <w:rFonts w:ascii="Calibri" w:hAnsi="Calibri" w:cs="Calibri"/>
        </w:rPr>
        <w:t>Community Challenges</w:t>
      </w:r>
      <w:r w:rsidRPr="003515F7">
        <w:rPr>
          <w:rStyle w:val="eop"/>
          <w:rFonts w:ascii="Calibri" w:hAnsi="Calibri" w:cs="Calibri"/>
        </w:rPr>
        <w:t> </w:t>
      </w:r>
    </w:p>
    <w:p w14:paraId="4E11A40F" w14:textId="77777777" w:rsidR="00880F8D" w:rsidRDefault="00880F8D" w:rsidP="006015A7">
      <w:pPr>
        <w:pStyle w:val="ListParagraph"/>
        <w:numPr>
          <w:ilvl w:val="0"/>
          <w:numId w:val="4"/>
        </w:numPr>
      </w:pPr>
      <w:r w:rsidRPr="003515F7">
        <w:rPr>
          <w:rStyle w:val="normaltextrun"/>
          <w:rFonts w:ascii="Calibri" w:hAnsi="Calibri" w:cs="Calibri"/>
        </w:rPr>
        <w:t>Dating Violence</w:t>
      </w:r>
      <w:r w:rsidRPr="003515F7">
        <w:rPr>
          <w:rStyle w:val="eop"/>
          <w:rFonts w:ascii="Calibri" w:hAnsi="Calibri" w:cs="Calibri"/>
        </w:rPr>
        <w:t> </w:t>
      </w:r>
    </w:p>
    <w:p w14:paraId="15CFC39F" w14:textId="77777777" w:rsidR="00880F8D" w:rsidRDefault="00880F8D" w:rsidP="006015A7">
      <w:pPr>
        <w:pStyle w:val="ListParagraph"/>
        <w:numPr>
          <w:ilvl w:val="0"/>
          <w:numId w:val="4"/>
        </w:numPr>
      </w:pPr>
      <w:r w:rsidRPr="003515F7">
        <w:rPr>
          <w:rStyle w:val="normaltextrun"/>
          <w:rFonts w:ascii="Calibri" w:hAnsi="Calibri" w:cs="Calibri"/>
        </w:rPr>
        <w:t>Discrimination</w:t>
      </w:r>
      <w:r w:rsidRPr="003515F7">
        <w:rPr>
          <w:rStyle w:val="eop"/>
          <w:rFonts w:ascii="Calibri" w:hAnsi="Calibri" w:cs="Calibri"/>
        </w:rPr>
        <w:t> </w:t>
      </w:r>
    </w:p>
    <w:p w14:paraId="5E905B04" w14:textId="77777777" w:rsidR="00880F8D" w:rsidRDefault="00880F8D" w:rsidP="006015A7">
      <w:pPr>
        <w:pStyle w:val="ListParagraph"/>
        <w:numPr>
          <w:ilvl w:val="0"/>
          <w:numId w:val="4"/>
        </w:numPr>
      </w:pPr>
      <w:r w:rsidRPr="003515F7">
        <w:rPr>
          <w:rStyle w:val="normaltextrun"/>
          <w:rFonts w:ascii="Calibri" w:hAnsi="Calibri" w:cs="Calibri"/>
        </w:rPr>
        <w:t>Family Violence</w:t>
      </w:r>
      <w:r w:rsidRPr="003515F7">
        <w:rPr>
          <w:rStyle w:val="eop"/>
          <w:rFonts w:ascii="Calibri" w:hAnsi="Calibri" w:cs="Calibri"/>
        </w:rPr>
        <w:t> </w:t>
      </w:r>
    </w:p>
    <w:p w14:paraId="63008164" w14:textId="77777777" w:rsidR="00880F8D" w:rsidRDefault="00880F8D" w:rsidP="006015A7">
      <w:pPr>
        <w:pStyle w:val="ListParagraph"/>
        <w:numPr>
          <w:ilvl w:val="0"/>
          <w:numId w:val="4"/>
        </w:numPr>
      </w:pPr>
      <w:r w:rsidRPr="003515F7">
        <w:rPr>
          <w:rStyle w:val="normaltextrun"/>
          <w:rFonts w:ascii="Calibri" w:hAnsi="Calibri" w:cs="Calibri"/>
        </w:rPr>
        <w:t>Household Mental Illness and Substance Use</w:t>
      </w:r>
      <w:r w:rsidRPr="003515F7">
        <w:rPr>
          <w:rStyle w:val="eop"/>
          <w:rFonts w:ascii="Calibri" w:hAnsi="Calibri" w:cs="Calibri"/>
        </w:rPr>
        <w:t> </w:t>
      </w:r>
    </w:p>
    <w:p w14:paraId="2570CA79" w14:textId="77777777" w:rsidR="00880F8D" w:rsidRDefault="00880F8D" w:rsidP="006015A7">
      <w:pPr>
        <w:pStyle w:val="ListParagraph"/>
        <w:numPr>
          <w:ilvl w:val="0"/>
          <w:numId w:val="4"/>
        </w:numPr>
      </w:pPr>
      <w:r w:rsidRPr="003515F7">
        <w:rPr>
          <w:rStyle w:val="normaltextrun"/>
          <w:rFonts w:ascii="Calibri" w:hAnsi="Calibri" w:cs="Calibri"/>
        </w:rPr>
        <w:t>Interpersonal Violence</w:t>
      </w:r>
      <w:r w:rsidRPr="003515F7">
        <w:rPr>
          <w:rStyle w:val="eop"/>
          <w:rFonts w:ascii="Calibri" w:hAnsi="Calibri" w:cs="Calibri"/>
        </w:rPr>
        <w:t> </w:t>
      </w:r>
    </w:p>
    <w:p w14:paraId="73144212" w14:textId="77777777" w:rsidR="00880F8D" w:rsidRDefault="00880F8D" w:rsidP="006015A7">
      <w:pPr>
        <w:pStyle w:val="ListParagraph"/>
        <w:numPr>
          <w:ilvl w:val="0"/>
          <w:numId w:val="4"/>
        </w:numPr>
      </w:pPr>
      <w:r w:rsidRPr="003515F7">
        <w:rPr>
          <w:rStyle w:val="normaltextrun"/>
          <w:rFonts w:ascii="Calibri" w:hAnsi="Calibri" w:cs="Calibri"/>
        </w:rPr>
        <w:t>Material Needs</w:t>
      </w:r>
      <w:r w:rsidRPr="003515F7">
        <w:rPr>
          <w:rStyle w:val="eop"/>
          <w:rFonts w:ascii="Calibri" w:hAnsi="Calibri" w:cs="Calibri"/>
        </w:rPr>
        <w:t> </w:t>
      </w:r>
    </w:p>
    <w:p w14:paraId="6B379CA1" w14:textId="77777777" w:rsidR="00880F8D" w:rsidRDefault="00880F8D" w:rsidP="006015A7">
      <w:pPr>
        <w:pStyle w:val="ListParagraph"/>
        <w:numPr>
          <w:ilvl w:val="0"/>
          <w:numId w:val="4"/>
        </w:numPr>
      </w:pPr>
      <w:r w:rsidRPr="003515F7">
        <w:rPr>
          <w:rStyle w:val="normaltextrun"/>
          <w:rFonts w:ascii="Calibri" w:hAnsi="Calibri" w:cs="Calibri"/>
        </w:rPr>
        <w:t>Sexual Violence</w:t>
      </w:r>
      <w:r w:rsidRPr="003515F7">
        <w:rPr>
          <w:rStyle w:val="eop"/>
          <w:rFonts w:ascii="Calibri" w:hAnsi="Calibri" w:cs="Calibri"/>
        </w:rPr>
        <w:t> </w:t>
      </w:r>
    </w:p>
    <w:p w14:paraId="70A9C89D" w14:textId="4F80C280" w:rsidR="00614CF2" w:rsidRPr="00614CF2" w:rsidRDefault="00614CF2" w:rsidP="00614CF2">
      <w:pPr>
        <w:spacing w:after="0" w:line="240" w:lineRule="auto"/>
        <w:textAlignment w:val="baseline"/>
        <w:rPr>
          <w:rFonts w:ascii="Segoe UI" w:eastAsia="Times New Roman" w:hAnsi="Segoe UI" w:cs="Segoe UI"/>
          <w:sz w:val="18"/>
          <w:szCs w:val="18"/>
        </w:rPr>
      </w:pPr>
    </w:p>
    <w:p w14:paraId="3C822187" w14:textId="77777777" w:rsidR="00614CF2" w:rsidRPr="00614CF2" w:rsidRDefault="00614CF2" w:rsidP="57051537">
      <w:pPr>
        <w:pStyle w:val="Heading2"/>
        <w:rPr>
          <w:rFonts w:ascii="Segoe UI" w:eastAsia="Times New Roman" w:hAnsi="Segoe UI" w:cs="Segoe UI"/>
          <w:sz w:val="18"/>
          <w:szCs w:val="18"/>
        </w:rPr>
      </w:pPr>
      <w:bookmarkStart w:id="11" w:name="_Toc143086300"/>
      <w:bookmarkStart w:id="12" w:name="_Toc155626819"/>
      <w:r w:rsidRPr="00614CF2">
        <w:rPr>
          <w:rFonts w:eastAsia="Times New Roman"/>
        </w:rPr>
        <w:lastRenderedPageBreak/>
        <w:t>Topic Dashboard Filters </w:t>
      </w:r>
      <w:bookmarkEnd w:id="11"/>
      <w:bookmarkEnd w:id="12"/>
      <w:r w:rsidRPr="00614CF2">
        <w:rPr>
          <w:rFonts w:eastAsia="Times New Roman"/>
        </w:rPr>
        <w:t> </w:t>
      </w:r>
    </w:p>
    <w:p w14:paraId="674D007F" w14:textId="705CE181" w:rsidR="00614CF2" w:rsidRPr="00614CF2" w:rsidRDefault="00123E31" w:rsidP="003515F7">
      <w:pPr>
        <w:rPr>
          <w:rFonts w:ascii="Segoe UI" w:eastAsia="Times New Roman" w:hAnsi="Segoe UI" w:cs="Segoe UI"/>
          <w:sz w:val="18"/>
          <w:szCs w:val="18"/>
        </w:rPr>
      </w:pPr>
      <w:r w:rsidRPr="00123E31">
        <w:rPr>
          <w:noProof/>
        </w:rPr>
        <w:drawing>
          <wp:inline distT="0" distB="0" distL="0" distR="0" wp14:anchorId="49069190" wp14:editId="5C0A84FC">
            <wp:extent cx="5875529" cy="1722269"/>
            <wp:effectExtent l="19050" t="19050" r="11430" b="11430"/>
            <wp:docPr id="1375747968" name="Picture 31" descr="An image of the ACEs and PCEs dashboard showing an example of an overall experience population tooltip in the chart area of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47968" name="Picture 31" descr="An image of the ACEs and PCEs dashboard showing an example of an overall experience population tooltip in the chart area of a topic dashboard."/>
                    <pic:cNvPicPr/>
                  </pic:nvPicPr>
                  <pic:blipFill>
                    <a:blip r:embed="rId19"/>
                    <a:stretch>
                      <a:fillRect/>
                    </a:stretch>
                  </pic:blipFill>
                  <pic:spPr>
                    <a:xfrm>
                      <a:off x="0" y="0"/>
                      <a:ext cx="5875529" cy="1722269"/>
                    </a:xfrm>
                    <a:prstGeom prst="rect">
                      <a:avLst/>
                    </a:prstGeom>
                    <a:ln w="3175">
                      <a:solidFill>
                        <a:schemeClr val="tx1"/>
                      </a:solidFill>
                    </a:ln>
                  </pic:spPr>
                </pic:pic>
              </a:graphicData>
            </a:graphic>
          </wp:inline>
        </w:drawing>
      </w:r>
      <w:r w:rsidRPr="00123E31">
        <w:t xml:space="preserve"> </w:t>
      </w:r>
      <w:r w:rsidR="00614CF2">
        <w:t>To change the survey year, survey, population group, and experiences to display on the dashboard use the filter drop-down options. The available population groups and experiences are based on the data available for the selected survey year and survey. Important: Not all population groups and experiences are available on all surveys. </w:t>
      </w:r>
      <w:r w:rsidR="00614CF2" w:rsidRPr="6B0765E0">
        <w:rPr>
          <w:rFonts w:ascii="Calibri" w:eastAsia="Times New Roman" w:hAnsi="Calibri" w:cs="Calibri"/>
        </w:rPr>
        <w:t> </w:t>
      </w:r>
    </w:p>
    <w:p w14:paraId="1018FAC8" w14:textId="77777777" w:rsidR="00614CF2" w:rsidRPr="00614CF2" w:rsidRDefault="00614CF2" w:rsidP="003515F7">
      <w:pPr>
        <w:pStyle w:val="Heading4"/>
        <w:rPr>
          <w:rFonts w:ascii="Segoe UI" w:eastAsia="Times New Roman" w:hAnsi="Segoe UI" w:cs="Segoe UI"/>
          <w:color w:val="2F5496"/>
          <w:sz w:val="18"/>
          <w:szCs w:val="18"/>
        </w:rPr>
      </w:pPr>
      <w:r w:rsidRPr="00614CF2">
        <w:rPr>
          <w:rFonts w:eastAsia="Times New Roman"/>
        </w:rPr>
        <w:t>Default Filter Selections  </w:t>
      </w:r>
    </w:p>
    <w:p w14:paraId="29597AB0" w14:textId="77777777" w:rsidR="00614CF2" w:rsidRPr="00614CF2" w:rsidRDefault="00614CF2" w:rsidP="003515F7">
      <w:pPr>
        <w:rPr>
          <w:rFonts w:ascii="Segoe UI" w:hAnsi="Segoe UI" w:cs="Segoe UI"/>
          <w:sz w:val="18"/>
          <w:szCs w:val="18"/>
        </w:rPr>
      </w:pPr>
      <w:r w:rsidRPr="00614CF2">
        <w:t>The default filter selections when first accessing the topic dashboard page are:  </w:t>
      </w:r>
    </w:p>
    <w:p w14:paraId="68C475F8" w14:textId="77777777" w:rsidR="00614CF2" w:rsidRPr="00614CF2" w:rsidRDefault="00614CF2" w:rsidP="006015A7">
      <w:pPr>
        <w:pStyle w:val="ListParagraph"/>
        <w:numPr>
          <w:ilvl w:val="0"/>
          <w:numId w:val="5"/>
        </w:numPr>
      </w:pPr>
      <w:r w:rsidRPr="003515F7">
        <w:rPr>
          <w:b/>
          <w:bCs/>
        </w:rPr>
        <w:t>Survey Year</w:t>
      </w:r>
      <w:r w:rsidRPr="00614CF2">
        <w:t xml:space="preserve"> is the latest available survey year  </w:t>
      </w:r>
    </w:p>
    <w:p w14:paraId="53EEA899" w14:textId="77777777" w:rsidR="00614CF2" w:rsidRPr="00614CF2" w:rsidRDefault="00614CF2" w:rsidP="006015A7">
      <w:pPr>
        <w:pStyle w:val="ListParagraph"/>
        <w:numPr>
          <w:ilvl w:val="0"/>
          <w:numId w:val="5"/>
        </w:numPr>
      </w:pPr>
      <w:r w:rsidRPr="003515F7">
        <w:rPr>
          <w:b/>
          <w:bCs/>
        </w:rPr>
        <w:t>Survey</w:t>
      </w:r>
      <w:r w:rsidRPr="00614CF2">
        <w:t xml:space="preserve"> is the first survey based on alphabetical ascending order of the survey name  </w:t>
      </w:r>
    </w:p>
    <w:p w14:paraId="05C6D8F1" w14:textId="77777777" w:rsidR="00614CF2" w:rsidRPr="00614CF2" w:rsidRDefault="00614CF2" w:rsidP="006015A7">
      <w:pPr>
        <w:pStyle w:val="ListParagraph"/>
        <w:numPr>
          <w:ilvl w:val="0"/>
          <w:numId w:val="5"/>
        </w:numPr>
      </w:pPr>
      <w:r w:rsidRPr="003515F7">
        <w:rPr>
          <w:b/>
          <w:bCs/>
        </w:rPr>
        <w:t>Population Group</w:t>
      </w:r>
      <w:r w:rsidRPr="00614CF2">
        <w:t xml:space="preserve"> is the overall population  </w:t>
      </w:r>
    </w:p>
    <w:p w14:paraId="387D437C" w14:textId="77777777" w:rsidR="00614CF2" w:rsidRPr="00614CF2" w:rsidRDefault="00614CF2" w:rsidP="006015A7">
      <w:pPr>
        <w:pStyle w:val="ListParagraph"/>
        <w:numPr>
          <w:ilvl w:val="0"/>
          <w:numId w:val="5"/>
        </w:numPr>
      </w:pPr>
      <w:r w:rsidRPr="003515F7">
        <w:rPr>
          <w:b/>
          <w:bCs/>
        </w:rPr>
        <w:t>Experiences</w:t>
      </w:r>
      <w:r w:rsidRPr="00614CF2">
        <w:t xml:space="preserve"> are all the available experiences  </w:t>
      </w:r>
    </w:p>
    <w:p w14:paraId="3892ACC9" w14:textId="77777777" w:rsidR="00614CF2" w:rsidRPr="00614CF2" w:rsidRDefault="00614CF2" w:rsidP="003515F7">
      <w:pPr>
        <w:pStyle w:val="Heading3"/>
        <w:rPr>
          <w:rFonts w:ascii="Segoe UI" w:eastAsia="Times New Roman" w:hAnsi="Segoe UI" w:cs="Segoe UI"/>
          <w:sz w:val="18"/>
          <w:szCs w:val="18"/>
        </w:rPr>
      </w:pPr>
      <w:bookmarkStart w:id="13" w:name="_Toc143086301"/>
      <w:r w:rsidRPr="00614CF2">
        <w:rPr>
          <w:rFonts w:eastAsia="Times New Roman"/>
        </w:rPr>
        <w:t>Filtering the Data on a Topic Dashboard </w:t>
      </w:r>
      <w:bookmarkEnd w:id="13"/>
      <w:r w:rsidRPr="00614CF2">
        <w:rPr>
          <w:rFonts w:eastAsia="Times New Roman"/>
        </w:rPr>
        <w:t> </w:t>
      </w:r>
    </w:p>
    <w:p w14:paraId="6DFB7275" w14:textId="77777777" w:rsidR="00614CF2" w:rsidRPr="00614CF2" w:rsidRDefault="00614CF2" w:rsidP="003515F7">
      <w:pPr>
        <w:pStyle w:val="Heading4"/>
        <w:rPr>
          <w:rFonts w:ascii="Segoe UI" w:eastAsia="Times New Roman" w:hAnsi="Segoe UI" w:cs="Segoe UI"/>
          <w:sz w:val="18"/>
          <w:szCs w:val="18"/>
        </w:rPr>
      </w:pPr>
      <w:bookmarkStart w:id="14" w:name="_Filtering_for_Survey"/>
      <w:bookmarkEnd w:id="14"/>
      <w:r w:rsidRPr="00614CF2">
        <w:rPr>
          <w:rFonts w:eastAsia="Times New Roman"/>
        </w:rPr>
        <w:t>Filtering for Survey Year, Survey, and Population Group Data  </w:t>
      </w:r>
    </w:p>
    <w:p w14:paraId="6262F1BB" w14:textId="3D63B49D" w:rsidR="00614CF2" w:rsidRPr="00614CF2" w:rsidRDefault="00A46216" w:rsidP="003515F7">
      <w:pPr>
        <w:rPr>
          <w:rFonts w:ascii="Segoe UI" w:eastAsia="Times New Roman" w:hAnsi="Segoe UI" w:cs="Segoe UI"/>
          <w:sz w:val="18"/>
          <w:szCs w:val="18"/>
        </w:rPr>
      </w:pPr>
      <w:r w:rsidRPr="00A46216">
        <w:rPr>
          <w:rFonts w:ascii="Segoe UI" w:eastAsia="Times New Roman" w:hAnsi="Segoe UI" w:cs="Segoe UI"/>
          <w:noProof/>
          <w:sz w:val="18"/>
          <w:szCs w:val="18"/>
        </w:rPr>
        <w:drawing>
          <wp:inline distT="0" distB="0" distL="0" distR="0" wp14:anchorId="3514D2D0" wp14:editId="753E4E8D">
            <wp:extent cx="5928874" cy="1745131"/>
            <wp:effectExtent l="19050" t="19050" r="15240" b="26670"/>
            <wp:docPr id="1647504099" name="Picture 10" descr="An image of the ACEs and PCEs dashboard showing an example of how to filter the survey data on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04099" name="Picture 10" descr="An image of the ACEs and PCEs dashboard showing an example of how to filter the survey data on a topic dashboard."/>
                    <pic:cNvPicPr/>
                  </pic:nvPicPr>
                  <pic:blipFill>
                    <a:blip r:embed="rId20"/>
                    <a:stretch>
                      <a:fillRect/>
                    </a:stretch>
                  </pic:blipFill>
                  <pic:spPr>
                    <a:xfrm>
                      <a:off x="0" y="0"/>
                      <a:ext cx="5928874" cy="1745131"/>
                    </a:xfrm>
                    <a:prstGeom prst="rect">
                      <a:avLst/>
                    </a:prstGeom>
                    <a:ln w="3175">
                      <a:solidFill>
                        <a:schemeClr val="tx1"/>
                      </a:solidFill>
                    </a:ln>
                  </pic:spPr>
                </pic:pic>
              </a:graphicData>
            </a:graphic>
          </wp:inline>
        </w:drawing>
      </w:r>
    </w:p>
    <w:p w14:paraId="08E07D43" w14:textId="77777777" w:rsidR="00614CF2" w:rsidRPr="00614CF2" w:rsidRDefault="00614CF2" w:rsidP="003515F7">
      <w:pPr>
        <w:rPr>
          <w:rFonts w:ascii="Segoe UI" w:eastAsia="Times New Roman" w:hAnsi="Segoe UI" w:cs="Segoe UI"/>
          <w:sz w:val="18"/>
          <w:szCs w:val="18"/>
        </w:rPr>
      </w:pPr>
      <w:r w:rsidRPr="00614CF2">
        <w:rPr>
          <w:rFonts w:ascii="Calibri" w:eastAsia="Times New Roman" w:hAnsi="Calibri" w:cs="Calibri"/>
        </w:rPr>
        <w:t>To filter the survey year, survey, and population group of a topic dashboard:  </w:t>
      </w:r>
    </w:p>
    <w:p w14:paraId="27321D27" w14:textId="77777777" w:rsidR="00614CF2" w:rsidRPr="003515F7" w:rsidRDefault="00614CF2" w:rsidP="006015A7">
      <w:pPr>
        <w:pStyle w:val="ListParagraph"/>
        <w:numPr>
          <w:ilvl w:val="0"/>
          <w:numId w:val="6"/>
        </w:numPr>
        <w:rPr>
          <w:rFonts w:ascii="Calibri" w:eastAsia="Times New Roman" w:hAnsi="Calibri" w:cs="Calibri"/>
        </w:rPr>
      </w:pPr>
      <w:r w:rsidRPr="003515F7">
        <w:rPr>
          <w:rFonts w:ascii="Calibri" w:eastAsia="Times New Roman" w:hAnsi="Calibri" w:cs="Calibri"/>
        </w:rPr>
        <w:t xml:space="preserve">At the </w:t>
      </w:r>
      <w:r w:rsidRPr="003515F7">
        <w:rPr>
          <w:rFonts w:ascii="Calibri" w:eastAsia="Times New Roman" w:hAnsi="Calibri" w:cs="Calibri"/>
          <w:b/>
          <w:bCs/>
        </w:rPr>
        <w:t>Select Year</w:t>
      </w:r>
      <w:r w:rsidRPr="003515F7">
        <w:rPr>
          <w:rFonts w:ascii="Calibri" w:eastAsia="Times New Roman" w:hAnsi="Calibri" w:cs="Calibri"/>
        </w:rPr>
        <w:t xml:space="preserve">, </w:t>
      </w:r>
      <w:r w:rsidRPr="003515F7">
        <w:rPr>
          <w:rFonts w:ascii="Calibri" w:eastAsia="Times New Roman" w:hAnsi="Calibri" w:cs="Calibri"/>
          <w:b/>
          <w:bCs/>
        </w:rPr>
        <w:t>Select Survey</w:t>
      </w:r>
      <w:r w:rsidRPr="003515F7">
        <w:rPr>
          <w:rFonts w:ascii="Calibri" w:eastAsia="Times New Roman" w:hAnsi="Calibri" w:cs="Calibri"/>
        </w:rPr>
        <w:t xml:space="preserve">, or </w:t>
      </w:r>
      <w:r w:rsidRPr="003515F7">
        <w:rPr>
          <w:rFonts w:ascii="Calibri" w:eastAsia="Times New Roman" w:hAnsi="Calibri" w:cs="Calibri"/>
          <w:b/>
          <w:bCs/>
        </w:rPr>
        <w:t>Selection Population Group</w:t>
      </w:r>
      <w:r w:rsidRPr="003515F7">
        <w:rPr>
          <w:rFonts w:ascii="Calibri" w:eastAsia="Times New Roman" w:hAnsi="Calibri" w:cs="Calibri"/>
        </w:rPr>
        <w:t xml:space="preserve"> prompt, click the drop-down arrow to the right of the filter. A list of filter values is displayed.  </w:t>
      </w:r>
    </w:p>
    <w:p w14:paraId="48952248" w14:textId="77777777" w:rsidR="00614CF2" w:rsidRPr="003515F7" w:rsidRDefault="00614CF2" w:rsidP="006015A7">
      <w:pPr>
        <w:pStyle w:val="ListParagraph"/>
        <w:numPr>
          <w:ilvl w:val="0"/>
          <w:numId w:val="6"/>
        </w:numPr>
        <w:rPr>
          <w:rFonts w:ascii="Calibri" w:eastAsia="Times New Roman" w:hAnsi="Calibri" w:cs="Calibri"/>
        </w:rPr>
      </w:pPr>
      <w:r w:rsidRPr="003515F7">
        <w:rPr>
          <w:rFonts w:ascii="Calibri" w:eastAsia="Times New Roman" w:hAnsi="Calibri" w:cs="Calibri"/>
        </w:rPr>
        <w:t>Select a filter value from the list. The chart on the dashboard is filtered for the selected filter values.  </w:t>
      </w:r>
    </w:p>
    <w:p w14:paraId="1C50F814" w14:textId="77777777" w:rsidR="00614CF2" w:rsidRPr="00614CF2" w:rsidRDefault="00614CF2" w:rsidP="003515F7">
      <w:pPr>
        <w:pStyle w:val="Heading4"/>
        <w:rPr>
          <w:rFonts w:ascii="Segoe UI" w:eastAsia="Times New Roman" w:hAnsi="Segoe UI" w:cs="Segoe UI"/>
          <w:sz w:val="18"/>
          <w:szCs w:val="18"/>
        </w:rPr>
      </w:pPr>
      <w:bookmarkStart w:id="15" w:name="_Filtering_for_Experiences"/>
      <w:bookmarkEnd w:id="15"/>
      <w:r w:rsidRPr="00614CF2">
        <w:rPr>
          <w:rFonts w:eastAsia="Times New Roman"/>
        </w:rPr>
        <w:lastRenderedPageBreak/>
        <w:t>Filtering for Experiences Data  </w:t>
      </w:r>
    </w:p>
    <w:p w14:paraId="51778FBA" w14:textId="22323940" w:rsidR="00614CF2" w:rsidRPr="00614CF2" w:rsidRDefault="009331E2" w:rsidP="003515F7">
      <w:pPr>
        <w:rPr>
          <w:rFonts w:ascii="Segoe UI" w:hAnsi="Segoe UI" w:cs="Segoe UI"/>
          <w:sz w:val="18"/>
          <w:szCs w:val="18"/>
        </w:rPr>
      </w:pPr>
      <w:r w:rsidRPr="009331E2">
        <w:rPr>
          <w:noProof/>
        </w:rPr>
        <w:drawing>
          <wp:inline distT="0" distB="0" distL="0" distR="0" wp14:anchorId="7BCB1274" wp14:editId="29CAF2EA">
            <wp:extent cx="5936494" cy="1783235"/>
            <wp:effectExtent l="19050" t="19050" r="26670" b="26670"/>
            <wp:docPr id="369427517" name="Picture 11" descr="An image of the ACEs and PCEs dashboard showing an example of how to filter the survey data on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27517" name="Picture 11" descr="An image of the ACEs and PCEs dashboard showing an example of how to filter the survey data on a topic dashboard."/>
                    <pic:cNvPicPr/>
                  </pic:nvPicPr>
                  <pic:blipFill>
                    <a:blip r:embed="rId21"/>
                    <a:stretch>
                      <a:fillRect/>
                    </a:stretch>
                  </pic:blipFill>
                  <pic:spPr>
                    <a:xfrm>
                      <a:off x="0" y="0"/>
                      <a:ext cx="5936494" cy="1783235"/>
                    </a:xfrm>
                    <a:prstGeom prst="rect">
                      <a:avLst/>
                    </a:prstGeom>
                    <a:ln w="3175">
                      <a:solidFill>
                        <a:schemeClr val="tx1"/>
                      </a:solidFill>
                    </a:ln>
                  </pic:spPr>
                </pic:pic>
              </a:graphicData>
            </a:graphic>
          </wp:inline>
        </w:drawing>
      </w:r>
      <w:r w:rsidR="00614CF2">
        <w:t> To filter one or more experiences of a topic dashboard:  </w:t>
      </w:r>
    </w:p>
    <w:p w14:paraId="72D1A98F" w14:textId="77777777" w:rsidR="00614CF2" w:rsidRPr="00614CF2" w:rsidRDefault="00614CF2" w:rsidP="006015A7">
      <w:pPr>
        <w:pStyle w:val="ListParagraph"/>
        <w:numPr>
          <w:ilvl w:val="0"/>
          <w:numId w:val="7"/>
        </w:numPr>
      </w:pPr>
      <w:r w:rsidRPr="00614CF2">
        <w:t xml:space="preserve">At the </w:t>
      </w:r>
      <w:r w:rsidRPr="003515F7">
        <w:rPr>
          <w:b/>
          <w:bCs/>
        </w:rPr>
        <w:t>Select Experience</w:t>
      </w:r>
      <w:r w:rsidRPr="00614CF2">
        <w:t xml:space="preserve"> prompt, click the drop-down arrow to the right of the filter. A list of filter values is displayed.  </w:t>
      </w:r>
    </w:p>
    <w:p w14:paraId="7062CEBA" w14:textId="77777777" w:rsidR="00614CF2" w:rsidRPr="00614CF2" w:rsidRDefault="00614CF2" w:rsidP="00DA7157">
      <w:pPr>
        <w:pStyle w:val="ListParagraph"/>
        <w:numPr>
          <w:ilvl w:val="0"/>
          <w:numId w:val="7"/>
        </w:numPr>
        <w:tabs>
          <w:tab w:val="left" w:pos="1440"/>
        </w:tabs>
      </w:pPr>
      <w:r w:rsidRPr="00614CF2">
        <w:t>Check one or more filter values from the list. Optionally, check the “(All)” filter value to select all experiences.  </w:t>
      </w:r>
    </w:p>
    <w:p w14:paraId="19A1B879" w14:textId="77777777" w:rsidR="00614CF2" w:rsidRPr="00614CF2" w:rsidRDefault="00614CF2" w:rsidP="006015A7">
      <w:pPr>
        <w:pStyle w:val="ListParagraph"/>
        <w:numPr>
          <w:ilvl w:val="0"/>
          <w:numId w:val="7"/>
        </w:numPr>
      </w:pPr>
      <w:r w:rsidRPr="00614CF2">
        <w:t xml:space="preserve">Click the </w:t>
      </w:r>
      <w:r w:rsidRPr="003515F7">
        <w:rPr>
          <w:b/>
          <w:bCs/>
        </w:rPr>
        <w:t>Apply</w:t>
      </w:r>
      <w:r w:rsidRPr="00614CF2">
        <w:t xml:space="preserve"> button. The chart on the dashboard is filtered for the selected filter values.  </w:t>
      </w:r>
    </w:p>
    <w:p w14:paraId="6C2EBA05" w14:textId="77777777" w:rsidR="00614CF2" w:rsidRPr="00614CF2" w:rsidRDefault="00614CF2" w:rsidP="003515F7">
      <w:pPr>
        <w:pStyle w:val="Heading4"/>
        <w:rPr>
          <w:rFonts w:ascii="Segoe UI" w:eastAsia="Times New Roman" w:hAnsi="Segoe UI" w:cs="Segoe UI"/>
          <w:sz w:val="18"/>
          <w:szCs w:val="18"/>
        </w:rPr>
      </w:pPr>
      <w:r w:rsidRPr="00614CF2">
        <w:rPr>
          <w:rFonts w:eastAsia="Times New Roman"/>
        </w:rPr>
        <w:t>Clearing Filters  </w:t>
      </w:r>
    </w:p>
    <w:p w14:paraId="57A33745" w14:textId="77777777" w:rsidR="00614CF2" w:rsidRPr="00614CF2" w:rsidRDefault="00614CF2" w:rsidP="0067434F">
      <w:pPr>
        <w:rPr>
          <w:rFonts w:ascii="Segoe UI" w:hAnsi="Segoe UI" w:cs="Segoe UI"/>
          <w:sz w:val="18"/>
          <w:szCs w:val="18"/>
        </w:rPr>
      </w:pPr>
      <w:r w:rsidRPr="00614CF2">
        <w:t>You have the option to clear a single filter or resetting all filter values by resetting the view of the topic dashboard. To clear a filter:  </w:t>
      </w:r>
    </w:p>
    <w:p w14:paraId="2B8C29CF" w14:textId="44D55B7E" w:rsidR="00614CF2" w:rsidRPr="00614CF2" w:rsidRDefault="003206DF" w:rsidP="0067434F">
      <w:pPr>
        <w:rPr>
          <w:rFonts w:ascii="Segoe UI" w:hAnsi="Segoe UI" w:cs="Segoe UI"/>
          <w:sz w:val="18"/>
          <w:szCs w:val="18"/>
        </w:rPr>
      </w:pPr>
      <w:r w:rsidRPr="003206DF">
        <w:rPr>
          <w:noProof/>
        </w:rPr>
        <w:drawing>
          <wp:inline distT="0" distB="0" distL="0" distR="0" wp14:anchorId="4823BF26" wp14:editId="4604EF1B">
            <wp:extent cx="5943600" cy="1767840"/>
            <wp:effectExtent l="19050" t="19050" r="19050" b="22860"/>
            <wp:docPr id="393911226" name="Picture 12" descr="An image of the ACEs and PCEs dashboard showing an example of how to filter the survey data on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11226" name="Picture 12" descr="An image of the ACEs and PCEs dashboard showing an example of how to filter the survey data on a topic dashboard."/>
                    <pic:cNvPicPr/>
                  </pic:nvPicPr>
                  <pic:blipFill>
                    <a:blip r:embed="rId22"/>
                    <a:stretch>
                      <a:fillRect/>
                    </a:stretch>
                  </pic:blipFill>
                  <pic:spPr>
                    <a:xfrm>
                      <a:off x="0" y="0"/>
                      <a:ext cx="5943600" cy="1767840"/>
                    </a:xfrm>
                    <a:prstGeom prst="rect">
                      <a:avLst/>
                    </a:prstGeom>
                    <a:ln w="3175">
                      <a:solidFill>
                        <a:schemeClr val="tx1"/>
                      </a:solidFill>
                    </a:ln>
                  </pic:spPr>
                </pic:pic>
              </a:graphicData>
            </a:graphic>
          </wp:inline>
        </w:drawing>
      </w:r>
      <w:r w:rsidR="00614CF2">
        <w:t>Hover to right of the filter label when a clear filter icon is displayed. Click on the clear filter icon. The filter is set to the ‘(All)’ value and the chart data is updated to include all values of the filter.  </w:t>
      </w:r>
    </w:p>
    <w:p w14:paraId="3B2CB893" w14:textId="77777777" w:rsidR="00614CF2" w:rsidRPr="00614CF2" w:rsidRDefault="00614CF2" w:rsidP="0067434F">
      <w:pPr>
        <w:rPr>
          <w:rFonts w:ascii="Segoe UI" w:hAnsi="Segoe UI" w:cs="Segoe UI"/>
          <w:sz w:val="18"/>
          <w:szCs w:val="18"/>
        </w:rPr>
      </w:pPr>
      <w:r w:rsidRPr="00614CF2">
        <w:t xml:space="preserve">Note the only filter that can be cleared on the dashboard is the </w:t>
      </w:r>
      <w:r w:rsidRPr="00614CF2">
        <w:rPr>
          <w:b/>
          <w:bCs/>
        </w:rPr>
        <w:t>Experience</w:t>
      </w:r>
      <w:r w:rsidRPr="00614CF2">
        <w:t xml:space="preserve"> filter.    </w:t>
      </w:r>
    </w:p>
    <w:p w14:paraId="3DB1B918" w14:textId="77777777" w:rsidR="00614CF2" w:rsidRPr="00614CF2" w:rsidRDefault="00614CF2" w:rsidP="0067434F">
      <w:pPr>
        <w:pStyle w:val="Heading4"/>
        <w:rPr>
          <w:rFonts w:ascii="Segoe UI" w:eastAsia="Times New Roman" w:hAnsi="Segoe UI" w:cs="Segoe UI"/>
          <w:sz w:val="18"/>
          <w:szCs w:val="18"/>
        </w:rPr>
      </w:pPr>
      <w:r w:rsidRPr="00614CF2">
        <w:rPr>
          <w:rFonts w:eastAsia="Times New Roman"/>
        </w:rPr>
        <w:lastRenderedPageBreak/>
        <w:t>Reset All Filters  </w:t>
      </w:r>
    </w:p>
    <w:p w14:paraId="0AD6F0C7" w14:textId="708196F7" w:rsidR="00614CF2" w:rsidRPr="00614CF2" w:rsidRDefault="004971CB" w:rsidP="0067434F">
      <w:pPr>
        <w:rPr>
          <w:rFonts w:ascii="Segoe UI" w:hAnsi="Segoe UI" w:cs="Segoe UI"/>
          <w:sz w:val="18"/>
          <w:szCs w:val="18"/>
        </w:rPr>
      </w:pPr>
      <w:r w:rsidRPr="004971CB">
        <w:rPr>
          <w:noProof/>
        </w:rPr>
        <w:drawing>
          <wp:inline distT="0" distB="0" distL="0" distR="0" wp14:anchorId="36897DBD" wp14:editId="12E16C39">
            <wp:extent cx="5928874" cy="2331922"/>
            <wp:effectExtent l="19050" t="19050" r="15240" b="11430"/>
            <wp:docPr id="1800896768" name="Picture 13" descr="An image of the ACEs and PCEs dashboard showing an example of how to filter the survey data on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96768" name="Picture 13" descr="An image of the ACEs and PCEs dashboard showing an example of how to filter the survey data on a topic dashboard."/>
                    <pic:cNvPicPr/>
                  </pic:nvPicPr>
                  <pic:blipFill>
                    <a:blip r:embed="rId23"/>
                    <a:stretch>
                      <a:fillRect/>
                    </a:stretch>
                  </pic:blipFill>
                  <pic:spPr>
                    <a:xfrm>
                      <a:off x="0" y="0"/>
                      <a:ext cx="5928874" cy="2331922"/>
                    </a:xfrm>
                    <a:prstGeom prst="rect">
                      <a:avLst/>
                    </a:prstGeom>
                    <a:ln w="3175">
                      <a:solidFill>
                        <a:schemeClr val="tx1"/>
                      </a:solidFill>
                    </a:ln>
                  </pic:spPr>
                </pic:pic>
              </a:graphicData>
            </a:graphic>
          </wp:inline>
        </w:drawing>
      </w:r>
      <w:r w:rsidR="00614CF2">
        <w:t xml:space="preserve">To reset the topic dashboard view, use the </w:t>
      </w:r>
      <w:r w:rsidR="00614CF2" w:rsidRPr="6B0765E0">
        <w:rPr>
          <w:b/>
          <w:bCs/>
        </w:rPr>
        <w:t>Reset View</w:t>
      </w:r>
      <w:r w:rsidR="00614CF2">
        <w:t xml:space="preserve"> button at the bottom of the dashboard application. The page will be updated to display the initial view of the topic dashboard.  </w:t>
      </w:r>
    </w:p>
    <w:p w14:paraId="72DFA967" w14:textId="77777777" w:rsidR="00614CF2" w:rsidRPr="009E7033" w:rsidRDefault="00614CF2" w:rsidP="0067434F">
      <w:pPr>
        <w:rPr>
          <w:rFonts w:ascii="Segoe UI" w:hAnsi="Segoe UI" w:cs="Segoe UI"/>
          <w:i/>
          <w:iCs/>
          <w:sz w:val="18"/>
          <w:szCs w:val="18"/>
        </w:rPr>
      </w:pPr>
      <w:r w:rsidRPr="009E7033">
        <w:rPr>
          <w:i/>
          <w:iCs/>
        </w:rPr>
        <w:t>Note that resetting the view will also reset the display options.  </w:t>
      </w:r>
    </w:p>
    <w:p w14:paraId="3DCCCA2F" w14:textId="77777777" w:rsidR="001250DF" w:rsidRDefault="001250DF" w:rsidP="5D6EAF2B">
      <w:pPr>
        <w:rPr>
          <w:rFonts w:asciiTheme="majorHAnsi" w:eastAsia="Times New Roman" w:hAnsiTheme="majorHAnsi" w:cstheme="majorBidi"/>
          <w:i/>
          <w:iCs/>
          <w:color w:val="2F5496" w:themeColor="accent1" w:themeShade="BF"/>
        </w:rPr>
      </w:pPr>
      <w:r w:rsidRPr="5D6EAF2B">
        <w:rPr>
          <w:rFonts w:eastAsia="Times New Roman"/>
        </w:rPr>
        <w:br w:type="page"/>
      </w:r>
    </w:p>
    <w:p w14:paraId="0972CD95" w14:textId="2CDD387C" w:rsidR="00614CF2" w:rsidRPr="00614CF2" w:rsidRDefault="00614CF2" w:rsidP="009E7033">
      <w:pPr>
        <w:pStyle w:val="Heading4"/>
        <w:rPr>
          <w:rFonts w:ascii="Segoe UI" w:eastAsia="Times New Roman" w:hAnsi="Segoe UI" w:cs="Segoe UI"/>
          <w:sz w:val="18"/>
          <w:szCs w:val="18"/>
        </w:rPr>
      </w:pPr>
      <w:r w:rsidRPr="00614CF2">
        <w:rPr>
          <w:rFonts w:eastAsia="Times New Roman"/>
        </w:rPr>
        <w:lastRenderedPageBreak/>
        <w:t>Viewing a Different Survey  </w:t>
      </w:r>
    </w:p>
    <w:p w14:paraId="144575AB" w14:textId="77777777" w:rsidR="00614CF2" w:rsidRPr="00614CF2" w:rsidRDefault="00614CF2" w:rsidP="009E7033">
      <w:pPr>
        <w:rPr>
          <w:rFonts w:ascii="Segoe UI" w:hAnsi="Segoe UI" w:cs="Segoe UI"/>
          <w:sz w:val="18"/>
          <w:szCs w:val="18"/>
        </w:rPr>
      </w:pPr>
      <w:r w:rsidRPr="00614CF2">
        <w:t xml:space="preserve">The population groups and experiences differ across the surveys reported for each topic dashboard. If a combination of experiences, or one experience, is selected for a survey that is not available in a different survey, then the survey is not included in the list available of surveys to choose from in the </w:t>
      </w:r>
      <w:r w:rsidRPr="00614CF2">
        <w:rPr>
          <w:b/>
          <w:bCs/>
        </w:rPr>
        <w:t>Select Survey</w:t>
      </w:r>
      <w:r w:rsidRPr="00614CF2">
        <w:t xml:space="preserve"> filter. So, to view a different survey than the one already selected and select the available population groups and experiences for the survey:  </w:t>
      </w:r>
    </w:p>
    <w:p w14:paraId="26F17BE2" w14:textId="3A2F36B3" w:rsidR="009E7033" w:rsidRDefault="00635A57" w:rsidP="009E7033">
      <w:r w:rsidRPr="00635A57">
        <w:rPr>
          <w:noProof/>
        </w:rPr>
        <w:drawing>
          <wp:inline distT="0" distB="0" distL="0" distR="0" wp14:anchorId="40523A15" wp14:editId="208E6261">
            <wp:extent cx="5943600" cy="2608580"/>
            <wp:effectExtent l="19050" t="19050" r="19050" b="20320"/>
            <wp:docPr id="74306396" name="Picture 4" descr="An image of the ACEs and PCEs dashboard showing an example of how to change the population group filter to the &quot;Overall' population group on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6396" name="Picture 4" descr="An image of the ACEs and PCEs dashboard showing an example of how to change the population group filter to the &quot;Overall' population group on a topic dashboard."/>
                    <pic:cNvPicPr/>
                  </pic:nvPicPr>
                  <pic:blipFill>
                    <a:blip r:embed="rId24"/>
                    <a:stretch>
                      <a:fillRect/>
                    </a:stretch>
                  </pic:blipFill>
                  <pic:spPr>
                    <a:xfrm>
                      <a:off x="0" y="0"/>
                      <a:ext cx="5943600" cy="2608580"/>
                    </a:xfrm>
                    <a:prstGeom prst="rect">
                      <a:avLst/>
                    </a:prstGeom>
                    <a:ln w="3175">
                      <a:solidFill>
                        <a:schemeClr val="tx1"/>
                      </a:solidFill>
                    </a:ln>
                  </pic:spPr>
                </pic:pic>
              </a:graphicData>
            </a:graphic>
          </wp:inline>
        </w:drawing>
      </w:r>
    </w:p>
    <w:p w14:paraId="26D5918A" w14:textId="77F2569B" w:rsidR="00614CF2" w:rsidRPr="009E7033" w:rsidRDefault="00614CF2" w:rsidP="006015A7">
      <w:pPr>
        <w:pStyle w:val="ListParagraph"/>
        <w:numPr>
          <w:ilvl w:val="0"/>
          <w:numId w:val="8"/>
        </w:numPr>
        <w:rPr>
          <w:rFonts w:ascii="Segoe UI" w:hAnsi="Segoe UI" w:cs="Segoe UI"/>
          <w:sz w:val="18"/>
          <w:szCs w:val="18"/>
        </w:rPr>
      </w:pPr>
      <w:r w:rsidRPr="00614CF2">
        <w:t xml:space="preserve">At the </w:t>
      </w:r>
      <w:r w:rsidRPr="009E7033">
        <w:rPr>
          <w:b/>
          <w:bCs/>
        </w:rPr>
        <w:t>Population Group</w:t>
      </w:r>
      <w:r w:rsidRPr="00614CF2">
        <w:t xml:space="preserve"> filter prompt, click the drop-down arrow to the right of the filter. A list of filter values is displayed.  </w:t>
      </w:r>
    </w:p>
    <w:p w14:paraId="6A3D1905" w14:textId="77777777" w:rsidR="00614CF2" w:rsidRPr="00614CF2" w:rsidRDefault="00614CF2" w:rsidP="006015A7">
      <w:pPr>
        <w:pStyle w:val="ListParagraph"/>
        <w:numPr>
          <w:ilvl w:val="0"/>
          <w:numId w:val="8"/>
        </w:numPr>
      </w:pPr>
      <w:r w:rsidRPr="00614CF2">
        <w:t>Select the “Overall” population from the list. The chart on the dashboard is updated to show the overall population.  </w:t>
      </w:r>
    </w:p>
    <w:p w14:paraId="44F5D65E" w14:textId="5768B11C" w:rsidR="00614CF2" w:rsidRPr="009E7033" w:rsidRDefault="00550A64" w:rsidP="009E7033">
      <w:pPr>
        <w:rPr>
          <w:rFonts w:ascii="Segoe UI" w:hAnsi="Segoe UI" w:cs="Segoe UI"/>
          <w:sz w:val="18"/>
          <w:szCs w:val="18"/>
        </w:rPr>
      </w:pPr>
      <w:r w:rsidRPr="00550A64">
        <w:rPr>
          <w:rFonts w:ascii="Segoe UI" w:hAnsi="Segoe UI" w:cs="Segoe UI"/>
          <w:noProof/>
          <w:sz w:val="18"/>
          <w:szCs w:val="18"/>
        </w:rPr>
        <w:drawing>
          <wp:inline distT="0" distB="0" distL="0" distR="0" wp14:anchorId="665F6B84" wp14:editId="4F4FAA9E">
            <wp:extent cx="5943600" cy="1840230"/>
            <wp:effectExtent l="19050" t="19050" r="19050" b="26670"/>
            <wp:docPr id="185914432" name="Picture 5" descr="An image of the ACEs and PCEs dashboard showing an example of how to change the population group filter to the &quot;Overall' population group on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4432" name="Picture 5" descr="An image of the ACEs and PCEs dashboard showing an example of how to change the population group filter to the &quot;Overall' population group on a topic dashboard."/>
                    <pic:cNvPicPr/>
                  </pic:nvPicPr>
                  <pic:blipFill>
                    <a:blip r:embed="rId25"/>
                    <a:stretch>
                      <a:fillRect/>
                    </a:stretch>
                  </pic:blipFill>
                  <pic:spPr>
                    <a:xfrm>
                      <a:off x="0" y="0"/>
                      <a:ext cx="5943600" cy="1840230"/>
                    </a:xfrm>
                    <a:prstGeom prst="rect">
                      <a:avLst/>
                    </a:prstGeom>
                    <a:ln w="3175">
                      <a:solidFill>
                        <a:schemeClr val="tx1"/>
                      </a:solidFill>
                    </a:ln>
                  </pic:spPr>
                </pic:pic>
              </a:graphicData>
            </a:graphic>
          </wp:inline>
        </w:drawing>
      </w:r>
    </w:p>
    <w:p w14:paraId="262DB02A" w14:textId="77777777" w:rsidR="00614CF2" w:rsidRPr="00614CF2" w:rsidRDefault="00614CF2" w:rsidP="006015A7">
      <w:pPr>
        <w:pStyle w:val="ListParagraph"/>
        <w:numPr>
          <w:ilvl w:val="0"/>
          <w:numId w:val="8"/>
        </w:numPr>
      </w:pPr>
      <w:r w:rsidRPr="00614CF2">
        <w:t xml:space="preserve">At the </w:t>
      </w:r>
      <w:r w:rsidRPr="009E7033">
        <w:rPr>
          <w:b/>
          <w:bCs/>
        </w:rPr>
        <w:t>Select Experience</w:t>
      </w:r>
      <w:r w:rsidRPr="00614CF2">
        <w:t xml:space="preserve"> prompt, click the drop-down arrow to the right of the filter. A list of filter values is displayed.  </w:t>
      </w:r>
    </w:p>
    <w:p w14:paraId="41CBF0D5" w14:textId="77777777" w:rsidR="00614CF2" w:rsidRPr="00614CF2" w:rsidRDefault="00614CF2" w:rsidP="006015A7">
      <w:pPr>
        <w:pStyle w:val="ListParagraph"/>
        <w:numPr>
          <w:ilvl w:val="0"/>
          <w:numId w:val="8"/>
        </w:numPr>
      </w:pPr>
      <w:r w:rsidRPr="00614CF2">
        <w:t>Check the “(All)” filter value to select all experiences.  </w:t>
      </w:r>
    </w:p>
    <w:p w14:paraId="47E2F059" w14:textId="77777777" w:rsidR="00614CF2" w:rsidRPr="00614CF2" w:rsidRDefault="00614CF2" w:rsidP="006015A7">
      <w:pPr>
        <w:pStyle w:val="ListParagraph"/>
        <w:numPr>
          <w:ilvl w:val="0"/>
          <w:numId w:val="8"/>
        </w:numPr>
      </w:pPr>
      <w:r w:rsidRPr="00614CF2">
        <w:t xml:space="preserve">Click the </w:t>
      </w:r>
      <w:r w:rsidRPr="009E7033">
        <w:rPr>
          <w:b/>
          <w:bCs/>
        </w:rPr>
        <w:t>Apply</w:t>
      </w:r>
      <w:r w:rsidRPr="00614CF2">
        <w:t xml:space="preserve"> button. The chart on the dashboard is updated to include all experiences.  </w:t>
      </w:r>
    </w:p>
    <w:p w14:paraId="067756CD" w14:textId="77777777" w:rsidR="00BC0EE4" w:rsidRDefault="00BC0EE4" w:rsidP="009E7033"/>
    <w:p w14:paraId="3CA4C015" w14:textId="77777777" w:rsidR="00BC0EE4" w:rsidRDefault="00BC0EE4" w:rsidP="009E7033"/>
    <w:p w14:paraId="3972EA65" w14:textId="701D0F54" w:rsidR="00D93626" w:rsidRDefault="00D93626" w:rsidP="5D6EAF2B">
      <w:pPr>
        <w:pStyle w:val="Heading4"/>
      </w:pPr>
      <w:r>
        <w:lastRenderedPageBreak/>
        <w:t>Viewing Different Survey Continued</w:t>
      </w:r>
    </w:p>
    <w:p w14:paraId="62F88AF3" w14:textId="4422390B" w:rsidR="00614CF2" w:rsidRPr="00614CF2" w:rsidRDefault="00E5240D" w:rsidP="009E7033">
      <w:pPr>
        <w:rPr>
          <w:rFonts w:ascii="Segoe UI" w:hAnsi="Segoe UI" w:cs="Segoe UI"/>
          <w:sz w:val="18"/>
          <w:szCs w:val="18"/>
        </w:rPr>
      </w:pPr>
      <w:r w:rsidRPr="00E5240D">
        <w:rPr>
          <w:noProof/>
        </w:rPr>
        <w:drawing>
          <wp:inline distT="0" distB="0" distL="0" distR="0" wp14:anchorId="6FF3349C" wp14:editId="09DC943D">
            <wp:extent cx="5943600" cy="1762125"/>
            <wp:effectExtent l="19050" t="19050" r="19050" b="28575"/>
            <wp:docPr id="210452802" name="Picture 6" descr="An image of the ACEs and PCEs dashboard showing an example of all the available values for the survey filter on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2802" name="Picture 6" descr="An image of the ACEs and PCEs dashboard showing an example of all the available values for the survey filter on a topic dashboard."/>
                    <pic:cNvPicPr/>
                  </pic:nvPicPr>
                  <pic:blipFill>
                    <a:blip r:embed="rId26"/>
                    <a:stretch>
                      <a:fillRect/>
                    </a:stretch>
                  </pic:blipFill>
                  <pic:spPr>
                    <a:xfrm>
                      <a:off x="0" y="0"/>
                      <a:ext cx="5943600" cy="1762125"/>
                    </a:xfrm>
                    <a:prstGeom prst="rect">
                      <a:avLst/>
                    </a:prstGeom>
                    <a:ln w="3175">
                      <a:solidFill>
                        <a:schemeClr val="tx1"/>
                      </a:solidFill>
                    </a:ln>
                  </pic:spPr>
                </pic:pic>
              </a:graphicData>
            </a:graphic>
          </wp:inline>
        </w:drawing>
      </w:r>
      <w:r w:rsidR="00614CF2">
        <w:t xml:space="preserve">The Select Survey filter prompt list of values now include all available surveys. Proceed with making the selections for the </w:t>
      </w:r>
      <w:r w:rsidR="00614CF2" w:rsidRPr="6B0765E0">
        <w:rPr>
          <w:b/>
          <w:bCs/>
        </w:rPr>
        <w:t>Select Survey</w:t>
      </w:r>
      <w:r w:rsidR="00614CF2">
        <w:t xml:space="preserve">, </w:t>
      </w:r>
      <w:r w:rsidR="00614CF2" w:rsidRPr="6B0765E0">
        <w:rPr>
          <w:b/>
          <w:bCs/>
        </w:rPr>
        <w:t>Select Population Group</w:t>
      </w:r>
      <w:r w:rsidR="00614CF2">
        <w:t xml:space="preserve"> and </w:t>
      </w:r>
      <w:r w:rsidR="00614CF2" w:rsidRPr="6B0765E0">
        <w:rPr>
          <w:b/>
          <w:bCs/>
        </w:rPr>
        <w:t>Select Experience</w:t>
      </w:r>
      <w:r w:rsidR="00614CF2">
        <w:t xml:space="preserve"> filters, see the sections </w:t>
      </w:r>
      <w:hyperlink w:anchor="_Filtering_for_Survey">
        <w:r w:rsidR="00614CF2" w:rsidRPr="6B0765E0">
          <w:rPr>
            <w:color w:val="0000FF"/>
            <w:u w:val="single"/>
          </w:rPr>
          <w:t>Filtering for Survey Year, Survey, and Population Group Data</w:t>
        </w:r>
      </w:hyperlink>
      <w:r w:rsidR="00614CF2">
        <w:t xml:space="preserve"> and </w:t>
      </w:r>
      <w:hyperlink w:anchor="_Filtering_for_Experiences">
        <w:r w:rsidR="00614CF2" w:rsidRPr="6B0765E0">
          <w:rPr>
            <w:color w:val="0000FF"/>
            <w:u w:val="single"/>
          </w:rPr>
          <w:t>Filtering for Experiences Data</w:t>
        </w:r>
      </w:hyperlink>
      <w:r w:rsidR="00614CF2">
        <w:t xml:space="preserve"> for instructions to filter these data.  </w:t>
      </w:r>
    </w:p>
    <w:p w14:paraId="53D44D4C" w14:textId="77777777" w:rsidR="009E7033" w:rsidRDefault="009E7033">
      <w:pPr>
        <w:rPr>
          <w:rFonts w:asciiTheme="majorHAnsi" w:eastAsia="Times New Roman" w:hAnsiTheme="majorHAnsi" w:cstheme="majorBidi"/>
          <w:color w:val="2F5496" w:themeColor="accent1" w:themeShade="BF"/>
          <w:sz w:val="26"/>
          <w:szCs w:val="26"/>
        </w:rPr>
      </w:pPr>
      <w:r>
        <w:rPr>
          <w:rFonts w:eastAsia="Times New Roman"/>
        </w:rPr>
        <w:br w:type="page"/>
      </w:r>
    </w:p>
    <w:p w14:paraId="73F76883" w14:textId="7AACD780" w:rsidR="00614CF2" w:rsidRPr="00614CF2" w:rsidRDefault="00614CF2" w:rsidP="009E7033">
      <w:pPr>
        <w:pStyle w:val="Heading2"/>
        <w:rPr>
          <w:rFonts w:ascii="Segoe UI" w:eastAsia="Times New Roman" w:hAnsi="Segoe UI" w:cs="Segoe UI"/>
          <w:sz w:val="18"/>
          <w:szCs w:val="18"/>
        </w:rPr>
      </w:pPr>
      <w:bookmarkStart w:id="16" w:name="_Toc143086302"/>
      <w:bookmarkStart w:id="17" w:name="_Toc155626820"/>
      <w:r w:rsidRPr="00614CF2">
        <w:rPr>
          <w:rFonts w:eastAsia="Times New Roman"/>
        </w:rPr>
        <w:lastRenderedPageBreak/>
        <w:t>Chart Features Overview </w:t>
      </w:r>
      <w:bookmarkEnd w:id="16"/>
      <w:bookmarkEnd w:id="17"/>
      <w:r w:rsidRPr="00614CF2">
        <w:rPr>
          <w:rFonts w:eastAsia="Times New Roman"/>
        </w:rPr>
        <w:t> </w:t>
      </w:r>
    </w:p>
    <w:p w14:paraId="75715A6E" w14:textId="77777777" w:rsidR="00614CF2" w:rsidRPr="00614CF2" w:rsidRDefault="00614CF2" w:rsidP="009E7033">
      <w:pPr>
        <w:rPr>
          <w:rFonts w:ascii="Segoe UI" w:hAnsi="Segoe UI" w:cs="Segoe UI"/>
          <w:sz w:val="18"/>
          <w:szCs w:val="18"/>
        </w:rPr>
      </w:pPr>
      <w:r w:rsidRPr="00614CF2">
        <w:t>The following image is an example of selecting the “2021” survey year, the “YHS – High School” survey, the “Sex” population group, and two of the four available experiences.  </w:t>
      </w:r>
    </w:p>
    <w:p w14:paraId="18A71D15" w14:textId="5E71158B" w:rsidR="00614CF2" w:rsidRPr="00614CF2" w:rsidRDefault="00632A2F" w:rsidP="009E7033">
      <w:pPr>
        <w:rPr>
          <w:rFonts w:ascii="Segoe UI" w:hAnsi="Segoe UI" w:cs="Segoe UI"/>
          <w:sz w:val="18"/>
          <w:szCs w:val="18"/>
        </w:rPr>
      </w:pPr>
      <w:r w:rsidRPr="00632A2F">
        <w:rPr>
          <w:noProof/>
        </w:rPr>
        <w:drawing>
          <wp:inline distT="0" distB="0" distL="0" distR="0" wp14:anchorId="33546870" wp14:editId="2AE8C62F">
            <wp:extent cx="5943600" cy="5099050"/>
            <wp:effectExtent l="19050" t="19050" r="19050" b="25400"/>
            <wp:docPr id="1712553813" name="Picture 9" descr="An image of the ACEs and PCEs dashboard showing all the chart features on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53813" name="Picture 9" descr="An image of the ACEs and PCEs dashboard showing all the chart features on a topic dashboard."/>
                    <pic:cNvPicPr/>
                  </pic:nvPicPr>
                  <pic:blipFill>
                    <a:blip r:embed="rId27"/>
                    <a:stretch>
                      <a:fillRect/>
                    </a:stretch>
                  </pic:blipFill>
                  <pic:spPr>
                    <a:xfrm>
                      <a:off x="0" y="0"/>
                      <a:ext cx="5943600" cy="5099050"/>
                    </a:xfrm>
                    <a:prstGeom prst="rect">
                      <a:avLst/>
                    </a:prstGeom>
                    <a:ln w="3175">
                      <a:solidFill>
                        <a:schemeClr val="tx1"/>
                      </a:solidFill>
                    </a:ln>
                  </pic:spPr>
                </pic:pic>
              </a:graphicData>
            </a:graphic>
          </wp:inline>
        </w:drawing>
      </w:r>
      <w:r w:rsidR="00614CF2">
        <w:t>The chart in each topic dashboard include:  </w:t>
      </w:r>
    </w:p>
    <w:p w14:paraId="5E13707D" w14:textId="77777777" w:rsidR="00614CF2" w:rsidRPr="009E7033" w:rsidRDefault="00614CF2" w:rsidP="006015A7">
      <w:pPr>
        <w:pStyle w:val="ListParagraph"/>
        <w:numPr>
          <w:ilvl w:val="0"/>
          <w:numId w:val="9"/>
        </w:numPr>
        <w:rPr>
          <w:rFonts w:ascii="Calibri Light" w:hAnsi="Calibri Light" w:cs="Calibri Light"/>
          <w:sz w:val="24"/>
          <w:szCs w:val="24"/>
        </w:rPr>
      </w:pPr>
      <w:r w:rsidRPr="00614CF2">
        <w:t>a color legend for the populations reported in the chart.  </w:t>
      </w:r>
    </w:p>
    <w:p w14:paraId="2ACF5EA7" w14:textId="77777777" w:rsidR="00614CF2" w:rsidRPr="009E7033" w:rsidRDefault="00614CF2" w:rsidP="006015A7">
      <w:pPr>
        <w:pStyle w:val="ListParagraph"/>
        <w:numPr>
          <w:ilvl w:val="0"/>
          <w:numId w:val="9"/>
        </w:numPr>
        <w:rPr>
          <w:rFonts w:ascii="Calibri Light" w:hAnsi="Calibri Light" w:cs="Calibri Light"/>
        </w:rPr>
      </w:pPr>
      <w:r w:rsidRPr="00614CF2">
        <w:t>an experiences row label area.  </w:t>
      </w:r>
    </w:p>
    <w:p w14:paraId="706EEE14" w14:textId="77777777" w:rsidR="00614CF2" w:rsidRPr="009E7033" w:rsidRDefault="00614CF2" w:rsidP="006015A7">
      <w:pPr>
        <w:pStyle w:val="ListParagraph"/>
        <w:numPr>
          <w:ilvl w:val="0"/>
          <w:numId w:val="9"/>
        </w:numPr>
        <w:rPr>
          <w:rFonts w:ascii="Calibri Light" w:hAnsi="Calibri Light" w:cs="Calibri Light"/>
        </w:rPr>
      </w:pPr>
      <w:r w:rsidRPr="00614CF2">
        <w:t>a plot area.  </w:t>
      </w:r>
    </w:p>
    <w:p w14:paraId="6AB0650E" w14:textId="77777777" w:rsidR="00614CF2" w:rsidRPr="009E7033" w:rsidRDefault="00614CF2" w:rsidP="006015A7">
      <w:pPr>
        <w:pStyle w:val="ListParagraph"/>
        <w:numPr>
          <w:ilvl w:val="0"/>
          <w:numId w:val="9"/>
        </w:numPr>
        <w:rPr>
          <w:rFonts w:ascii="Calibri Light" w:hAnsi="Calibri Light" w:cs="Calibri Light"/>
        </w:rPr>
      </w:pPr>
      <w:r w:rsidRPr="00614CF2">
        <w:t>an overall bar.  </w:t>
      </w:r>
    </w:p>
    <w:p w14:paraId="0C21CA97" w14:textId="77777777" w:rsidR="00614CF2" w:rsidRPr="009E7033" w:rsidRDefault="00614CF2" w:rsidP="006015A7">
      <w:pPr>
        <w:pStyle w:val="ListParagraph"/>
        <w:numPr>
          <w:ilvl w:val="0"/>
          <w:numId w:val="9"/>
        </w:numPr>
        <w:rPr>
          <w:rFonts w:ascii="Calibri Light" w:hAnsi="Calibri Light" w:cs="Calibri Light"/>
        </w:rPr>
      </w:pPr>
      <w:r w:rsidRPr="00614CF2">
        <w:t>an overall reference line for each experience.  </w:t>
      </w:r>
    </w:p>
    <w:p w14:paraId="0765CA0B" w14:textId="77777777" w:rsidR="00614CF2" w:rsidRPr="009E7033" w:rsidRDefault="00614CF2" w:rsidP="006015A7">
      <w:pPr>
        <w:pStyle w:val="ListParagraph"/>
        <w:numPr>
          <w:ilvl w:val="0"/>
          <w:numId w:val="9"/>
        </w:numPr>
        <w:rPr>
          <w:rFonts w:ascii="Calibri Light" w:hAnsi="Calibri Light" w:cs="Calibri Light"/>
        </w:rPr>
      </w:pPr>
      <w:r w:rsidRPr="00614CF2">
        <w:t>overall reference line tooltips.  </w:t>
      </w:r>
    </w:p>
    <w:p w14:paraId="6704AA89" w14:textId="77777777" w:rsidR="00614CF2" w:rsidRPr="00614CF2" w:rsidRDefault="00614CF2" w:rsidP="006015A7">
      <w:pPr>
        <w:pStyle w:val="ListParagraph"/>
        <w:numPr>
          <w:ilvl w:val="0"/>
          <w:numId w:val="9"/>
        </w:numPr>
      </w:pPr>
      <w:r w:rsidRPr="00614CF2">
        <w:t>an experience population bar for each population of the selected experience.  </w:t>
      </w:r>
    </w:p>
    <w:p w14:paraId="390F3FDB" w14:textId="77777777" w:rsidR="00614CF2" w:rsidRPr="00614CF2" w:rsidRDefault="00614CF2" w:rsidP="006015A7">
      <w:pPr>
        <w:pStyle w:val="ListParagraph"/>
        <w:numPr>
          <w:ilvl w:val="0"/>
          <w:numId w:val="9"/>
        </w:numPr>
      </w:pPr>
      <w:r w:rsidRPr="00614CF2">
        <w:t>a label in each bar that displays the estimated percent reporting the experience for the population.  </w:t>
      </w:r>
    </w:p>
    <w:p w14:paraId="19119897" w14:textId="77777777" w:rsidR="00614CF2" w:rsidRPr="00614CF2" w:rsidRDefault="00614CF2" w:rsidP="006015A7">
      <w:pPr>
        <w:pStyle w:val="ListParagraph"/>
        <w:numPr>
          <w:ilvl w:val="0"/>
          <w:numId w:val="9"/>
        </w:numPr>
      </w:pPr>
      <w:r w:rsidRPr="00614CF2">
        <w:t>an experience population bar tooltip.  </w:t>
      </w:r>
    </w:p>
    <w:p w14:paraId="794ACBA1" w14:textId="77777777" w:rsidR="008F059C" w:rsidRDefault="00614CF2" w:rsidP="006015A7">
      <w:pPr>
        <w:pStyle w:val="ListParagraph"/>
        <w:numPr>
          <w:ilvl w:val="0"/>
          <w:numId w:val="9"/>
        </w:numPr>
      </w:pPr>
      <w:r w:rsidRPr="00614CF2">
        <w:t>chart axis of the estimated percent reporting the experience. </w:t>
      </w:r>
    </w:p>
    <w:p w14:paraId="4C40EA17" w14:textId="5E04CEFC" w:rsidR="00614CF2" w:rsidRDefault="00614CF2" w:rsidP="008F059C">
      <w:pPr>
        <w:pStyle w:val="Heading4"/>
        <w:rPr>
          <w:rFonts w:eastAsia="Times New Roman"/>
        </w:rPr>
      </w:pPr>
      <w:r w:rsidRPr="008F059C">
        <w:rPr>
          <w:rFonts w:eastAsia="Times New Roman"/>
        </w:rPr>
        <w:lastRenderedPageBreak/>
        <w:t>Population Color Legend  </w:t>
      </w:r>
    </w:p>
    <w:p w14:paraId="4D67BF7D" w14:textId="2974D25D" w:rsidR="00627F2D" w:rsidRPr="00627F2D" w:rsidRDefault="00B51B23" w:rsidP="00627F2D">
      <w:r w:rsidRPr="00B51B23">
        <w:rPr>
          <w:noProof/>
        </w:rPr>
        <w:drawing>
          <wp:inline distT="0" distB="0" distL="0" distR="0" wp14:anchorId="01B6F283" wp14:editId="6BD0F159">
            <wp:extent cx="5936494" cy="1714649"/>
            <wp:effectExtent l="19050" t="19050" r="26670" b="19050"/>
            <wp:docPr id="146917704" name="Picture 14" descr="An image of the ACEs and PCEs dashboard showing all the chart features on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7704" name="Picture 14" descr="An image of the ACEs and PCEs dashboard showing all the chart features on a topic dashboard."/>
                    <pic:cNvPicPr/>
                  </pic:nvPicPr>
                  <pic:blipFill>
                    <a:blip r:embed="rId28"/>
                    <a:stretch>
                      <a:fillRect/>
                    </a:stretch>
                  </pic:blipFill>
                  <pic:spPr>
                    <a:xfrm>
                      <a:off x="0" y="0"/>
                      <a:ext cx="5936494" cy="1714649"/>
                    </a:xfrm>
                    <a:prstGeom prst="rect">
                      <a:avLst/>
                    </a:prstGeom>
                    <a:ln w="3175">
                      <a:solidFill>
                        <a:schemeClr val="tx1"/>
                      </a:solidFill>
                    </a:ln>
                  </pic:spPr>
                </pic:pic>
              </a:graphicData>
            </a:graphic>
          </wp:inline>
        </w:drawing>
      </w:r>
    </w:p>
    <w:p w14:paraId="3D270428" w14:textId="2F203C27" w:rsidR="00614CF2" w:rsidRPr="00614CF2" w:rsidRDefault="00614CF2" w:rsidP="008F059C">
      <w:pPr>
        <w:rPr>
          <w:rFonts w:ascii="Segoe UI" w:hAnsi="Segoe UI" w:cs="Segoe UI"/>
          <w:sz w:val="18"/>
          <w:szCs w:val="18"/>
        </w:rPr>
      </w:pPr>
      <w:r w:rsidRPr="00614CF2">
        <w:t xml:space="preserve">The </w:t>
      </w:r>
      <w:r w:rsidRPr="00614CF2">
        <w:rPr>
          <w:b/>
          <w:bCs/>
        </w:rPr>
        <w:t>Population Color Legend</w:t>
      </w:r>
      <w:r w:rsidRPr="00614CF2">
        <w:t xml:space="preserve"> updates to show the color keys for each population in the bar chart of the selected</w:t>
      </w:r>
      <w:r w:rsidRPr="00614CF2">
        <w:rPr>
          <w:b/>
          <w:bCs/>
        </w:rPr>
        <w:t xml:space="preserve"> Population Group</w:t>
      </w:r>
      <w:r w:rsidRPr="00614CF2">
        <w:t>. The populations are listed in ascending alphabetical order.  </w:t>
      </w:r>
    </w:p>
    <w:p w14:paraId="1CD73CCA" w14:textId="77777777" w:rsidR="00614CF2" w:rsidRDefault="00614CF2" w:rsidP="008F059C">
      <w:pPr>
        <w:pStyle w:val="Heading4"/>
        <w:rPr>
          <w:rFonts w:eastAsia="Times New Roman"/>
        </w:rPr>
      </w:pPr>
      <w:r w:rsidRPr="00614CF2">
        <w:rPr>
          <w:rFonts w:eastAsia="Times New Roman"/>
        </w:rPr>
        <w:t>Experiences Row Label Area  </w:t>
      </w:r>
    </w:p>
    <w:p w14:paraId="0843C516" w14:textId="05DC91C5" w:rsidR="00614CF2" w:rsidRPr="00627F2D" w:rsidRDefault="00113F89" w:rsidP="008F059C">
      <w:r w:rsidRPr="00113F89">
        <w:rPr>
          <w:noProof/>
        </w:rPr>
        <w:drawing>
          <wp:inline distT="0" distB="0" distL="0" distR="0" wp14:anchorId="79D0D45B" wp14:editId="60AA0B56">
            <wp:extent cx="5921253" cy="2949196"/>
            <wp:effectExtent l="19050" t="19050" r="22860" b="22860"/>
            <wp:docPr id="53180277" name="Picture 15" descr="An image of the ACEs and PCEs dashboard showing all the chart features on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0277" name="Picture 15" descr="An image of the ACEs and PCEs dashboard showing all the chart features on a topic dashboard."/>
                    <pic:cNvPicPr/>
                  </pic:nvPicPr>
                  <pic:blipFill>
                    <a:blip r:embed="rId29"/>
                    <a:stretch>
                      <a:fillRect/>
                    </a:stretch>
                  </pic:blipFill>
                  <pic:spPr>
                    <a:xfrm>
                      <a:off x="0" y="0"/>
                      <a:ext cx="5921253" cy="2949196"/>
                    </a:xfrm>
                    <a:prstGeom prst="rect">
                      <a:avLst/>
                    </a:prstGeom>
                    <a:ln w="3175">
                      <a:solidFill>
                        <a:schemeClr val="tx1"/>
                      </a:solidFill>
                    </a:ln>
                  </pic:spPr>
                </pic:pic>
              </a:graphicData>
            </a:graphic>
          </wp:inline>
        </w:drawing>
      </w:r>
      <w:r w:rsidR="00627F2D">
        <w:br/>
      </w:r>
      <w:r w:rsidR="00614CF2">
        <w:t xml:space="preserve">The experience row label area displays each selected experience from the </w:t>
      </w:r>
      <w:r w:rsidR="00614CF2" w:rsidRPr="6B0765E0">
        <w:rPr>
          <w:b/>
          <w:bCs/>
        </w:rPr>
        <w:t>Experience</w:t>
      </w:r>
      <w:r w:rsidR="00614CF2">
        <w:t xml:space="preserve"> filter. The experiences are listed in ascending alphabetical order.  </w:t>
      </w:r>
    </w:p>
    <w:p w14:paraId="2AEC9D35" w14:textId="77777777" w:rsidR="00614CF2" w:rsidRDefault="00614CF2" w:rsidP="008F059C">
      <w:pPr>
        <w:pStyle w:val="Heading4"/>
        <w:rPr>
          <w:rFonts w:eastAsia="Times New Roman"/>
        </w:rPr>
      </w:pPr>
      <w:r w:rsidRPr="00614CF2">
        <w:rPr>
          <w:rFonts w:eastAsia="Times New Roman"/>
        </w:rPr>
        <w:lastRenderedPageBreak/>
        <w:t>Plot Area  </w:t>
      </w:r>
    </w:p>
    <w:p w14:paraId="5257C748" w14:textId="4C77869F" w:rsidR="00614CF2" w:rsidRPr="00627F2D" w:rsidRDefault="00CA735C" w:rsidP="008F059C">
      <w:r w:rsidRPr="00CA735C">
        <w:rPr>
          <w:noProof/>
        </w:rPr>
        <w:drawing>
          <wp:inline distT="0" distB="0" distL="0" distR="0" wp14:anchorId="2074589B" wp14:editId="12892FBB">
            <wp:extent cx="5943600" cy="2977515"/>
            <wp:effectExtent l="0" t="0" r="0" b="0"/>
            <wp:docPr id="971311209" name="Picture 2" descr="An image of the ACEs and PCEs dashboard showing the data plot area and features in the chart area of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11209" name="Picture 2" descr="An image of the ACEs and PCEs dashboard showing the data plot area and features in the chart area of a topic dashboard."/>
                    <pic:cNvPicPr/>
                  </pic:nvPicPr>
                  <pic:blipFill>
                    <a:blip r:embed="rId30"/>
                    <a:stretch>
                      <a:fillRect/>
                    </a:stretch>
                  </pic:blipFill>
                  <pic:spPr>
                    <a:xfrm>
                      <a:off x="0" y="0"/>
                      <a:ext cx="5943600" cy="2977515"/>
                    </a:xfrm>
                    <a:prstGeom prst="rect">
                      <a:avLst/>
                    </a:prstGeom>
                  </pic:spPr>
                </pic:pic>
              </a:graphicData>
            </a:graphic>
          </wp:inline>
        </w:drawing>
      </w:r>
      <w:r w:rsidR="00627F2D">
        <w:br/>
      </w:r>
      <w:r w:rsidR="00614CF2">
        <w:t xml:space="preserve">The plot area displays a bar representing the estimated percent reporting the experience. For each experience selected from the </w:t>
      </w:r>
      <w:r w:rsidR="00614CF2" w:rsidRPr="6B0765E0">
        <w:rPr>
          <w:b/>
          <w:bCs/>
        </w:rPr>
        <w:t>Experience</w:t>
      </w:r>
      <w:r w:rsidR="00614CF2">
        <w:t xml:space="preserve"> filter, there is:  </w:t>
      </w:r>
    </w:p>
    <w:p w14:paraId="0C84E482" w14:textId="77777777" w:rsidR="00614CF2" w:rsidRPr="008F059C" w:rsidRDefault="00614CF2" w:rsidP="006015A7">
      <w:pPr>
        <w:pStyle w:val="ListParagraph"/>
        <w:numPr>
          <w:ilvl w:val="0"/>
          <w:numId w:val="10"/>
        </w:numPr>
      </w:pPr>
      <w:r w:rsidRPr="008F059C">
        <w:t>an overall bar  </w:t>
      </w:r>
    </w:p>
    <w:p w14:paraId="613F106A" w14:textId="77777777" w:rsidR="00614CF2" w:rsidRPr="008F059C" w:rsidRDefault="00614CF2" w:rsidP="006015A7">
      <w:pPr>
        <w:pStyle w:val="ListParagraph"/>
        <w:numPr>
          <w:ilvl w:val="0"/>
          <w:numId w:val="10"/>
        </w:numPr>
      </w:pPr>
      <w:r w:rsidRPr="008F059C">
        <w:t>a label that displays the estimated percent reporting the experience for the overall population.  </w:t>
      </w:r>
    </w:p>
    <w:p w14:paraId="4B658D65" w14:textId="77777777" w:rsidR="00614CF2" w:rsidRPr="008F059C" w:rsidRDefault="00614CF2" w:rsidP="006015A7">
      <w:pPr>
        <w:pStyle w:val="ListParagraph"/>
        <w:numPr>
          <w:ilvl w:val="0"/>
          <w:numId w:val="10"/>
        </w:numPr>
      </w:pPr>
      <w:r w:rsidRPr="008F059C">
        <w:t>a bar for each experience population representing the population’s estimated percent reporting the experience.  </w:t>
      </w:r>
    </w:p>
    <w:p w14:paraId="11EE4232" w14:textId="77777777" w:rsidR="00614CF2" w:rsidRPr="008F059C" w:rsidRDefault="00614CF2" w:rsidP="006015A7">
      <w:pPr>
        <w:pStyle w:val="ListParagraph"/>
        <w:numPr>
          <w:ilvl w:val="0"/>
          <w:numId w:val="10"/>
        </w:numPr>
      </w:pPr>
      <w:r w:rsidRPr="008F059C">
        <w:t>a label in each bar that displays the estimated percent reporting the experience for the population.  </w:t>
      </w:r>
    </w:p>
    <w:p w14:paraId="7C6E3E38" w14:textId="77777777" w:rsidR="00614CF2" w:rsidRDefault="00614CF2" w:rsidP="008F059C">
      <w:pPr>
        <w:pStyle w:val="Heading4"/>
        <w:rPr>
          <w:rFonts w:eastAsia="Times New Roman"/>
        </w:rPr>
      </w:pPr>
      <w:r w:rsidRPr="00614CF2">
        <w:rPr>
          <w:rFonts w:eastAsia="Times New Roman"/>
        </w:rPr>
        <w:t>Overall Bar  </w:t>
      </w:r>
    </w:p>
    <w:p w14:paraId="2C55E42E" w14:textId="2B7F7092" w:rsidR="00614CF2" w:rsidRPr="008904FC" w:rsidRDefault="007B7691" w:rsidP="008F059C">
      <w:r w:rsidRPr="007B7691">
        <w:rPr>
          <w:noProof/>
        </w:rPr>
        <w:drawing>
          <wp:inline distT="0" distB="0" distL="0" distR="0" wp14:anchorId="530E603D" wp14:editId="3CE7AF4B">
            <wp:extent cx="5928874" cy="1440305"/>
            <wp:effectExtent l="19050" t="19050" r="15240" b="26670"/>
            <wp:docPr id="295689182" name="Picture 16" descr="An image of the ACEs and PCEs dashboard showing the data plot area and features in the chart area of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89182" name="Picture 16" descr="An image of the ACEs and PCEs dashboard showing the data plot area and features in the chart area of a topic dashboard."/>
                    <pic:cNvPicPr/>
                  </pic:nvPicPr>
                  <pic:blipFill>
                    <a:blip r:embed="rId31"/>
                    <a:stretch>
                      <a:fillRect/>
                    </a:stretch>
                  </pic:blipFill>
                  <pic:spPr>
                    <a:xfrm>
                      <a:off x="0" y="0"/>
                      <a:ext cx="5928874" cy="1440305"/>
                    </a:xfrm>
                    <a:prstGeom prst="rect">
                      <a:avLst/>
                    </a:prstGeom>
                    <a:ln w="3175">
                      <a:solidFill>
                        <a:schemeClr val="tx1"/>
                      </a:solidFill>
                    </a:ln>
                  </pic:spPr>
                </pic:pic>
              </a:graphicData>
            </a:graphic>
          </wp:inline>
        </w:drawing>
      </w:r>
      <w:r w:rsidR="008904FC">
        <w:br/>
      </w:r>
      <w:r w:rsidR="00614CF2">
        <w:t xml:space="preserve">The overall bar represents the estimated percent reporting the experience for the overall population. There is an overall bar for each experience in the bar chart. The label in the middle of the bar </w:t>
      </w:r>
      <w:r w:rsidR="626611F9">
        <w:t>show</w:t>
      </w:r>
      <w:r w:rsidR="00614CF2">
        <w:t>s the estimated percent reporting the experience for the overall population.  </w:t>
      </w:r>
    </w:p>
    <w:p w14:paraId="761F79AC" w14:textId="77777777" w:rsidR="00614CF2" w:rsidRDefault="00614CF2" w:rsidP="008F059C">
      <w:pPr>
        <w:pStyle w:val="Heading4"/>
        <w:rPr>
          <w:rFonts w:eastAsia="Times New Roman"/>
        </w:rPr>
      </w:pPr>
      <w:r w:rsidRPr="00614CF2">
        <w:rPr>
          <w:rFonts w:eastAsia="Times New Roman"/>
        </w:rPr>
        <w:lastRenderedPageBreak/>
        <w:t>Overall Reference Line  </w:t>
      </w:r>
    </w:p>
    <w:p w14:paraId="308BA7D5" w14:textId="5D3F62FD" w:rsidR="00614CF2" w:rsidRPr="008904FC" w:rsidRDefault="00A34DB2" w:rsidP="008F059C">
      <w:r w:rsidRPr="00A34DB2">
        <w:rPr>
          <w:noProof/>
        </w:rPr>
        <w:drawing>
          <wp:inline distT="0" distB="0" distL="0" distR="0" wp14:anchorId="63C56610" wp14:editId="7934B170">
            <wp:extent cx="5921253" cy="1447925"/>
            <wp:effectExtent l="19050" t="19050" r="22860" b="19050"/>
            <wp:docPr id="2111006783" name="Picture 17" descr="An image of the ACEs and PCEs dashboard showing the data plot area and features in the chart area of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06783" name="Picture 17" descr="An image of the ACEs and PCEs dashboard showing the data plot area and features in the chart area of a topic dashboard."/>
                    <pic:cNvPicPr/>
                  </pic:nvPicPr>
                  <pic:blipFill>
                    <a:blip r:embed="rId32"/>
                    <a:stretch>
                      <a:fillRect/>
                    </a:stretch>
                  </pic:blipFill>
                  <pic:spPr>
                    <a:xfrm>
                      <a:off x="0" y="0"/>
                      <a:ext cx="5921253" cy="1447925"/>
                    </a:xfrm>
                    <a:prstGeom prst="rect">
                      <a:avLst/>
                    </a:prstGeom>
                    <a:ln w="3175">
                      <a:solidFill>
                        <a:schemeClr val="tx1"/>
                      </a:solidFill>
                    </a:ln>
                  </pic:spPr>
                </pic:pic>
              </a:graphicData>
            </a:graphic>
          </wp:inline>
        </w:drawing>
      </w:r>
      <w:r w:rsidR="008904FC">
        <w:br/>
      </w:r>
      <w:r w:rsidR="00614CF2">
        <w:t xml:space="preserve">When a population group other than “Overall” is selected, an “Overall” vertical reference line is displayed across each set of experience bars. The line allows a user to compare the overall estimated percent reporting the experience to the population group to see if some groups of residents have the experience </w:t>
      </w:r>
      <w:proofErr w:type="gramStart"/>
      <w:r w:rsidR="00614CF2">
        <w:t>more or less often</w:t>
      </w:r>
      <w:proofErr w:type="gramEnd"/>
      <w:r w:rsidR="00614CF2">
        <w:t xml:space="preserve"> than the whole group.   </w:t>
      </w:r>
    </w:p>
    <w:p w14:paraId="78B26307" w14:textId="14865592" w:rsidR="00614CF2" w:rsidRDefault="00614CF2" w:rsidP="008F059C">
      <w:pPr>
        <w:pStyle w:val="Heading4"/>
        <w:rPr>
          <w:rFonts w:eastAsia="Times New Roman"/>
        </w:rPr>
      </w:pPr>
      <w:r w:rsidRPr="00614CF2">
        <w:rPr>
          <w:rFonts w:eastAsia="Times New Roman"/>
        </w:rPr>
        <w:t>Overall Reference Line Tooltip </w:t>
      </w:r>
    </w:p>
    <w:p w14:paraId="6E8DFCC6" w14:textId="3EE726A8" w:rsidR="00614CF2" w:rsidRPr="008904FC" w:rsidRDefault="0067364F" w:rsidP="008F059C">
      <w:r w:rsidRPr="0067364F">
        <w:rPr>
          <w:noProof/>
        </w:rPr>
        <w:drawing>
          <wp:inline distT="0" distB="0" distL="0" distR="0" wp14:anchorId="44C2E19C" wp14:editId="3BE1B139">
            <wp:extent cx="5913632" cy="1440305"/>
            <wp:effectExtent l="19050" t="19050" r="11430" b="26670"/>
            <wp:docPr id="1056571950" name="Picture 18" descr="An image of the ACEs and PCEs dashboard showing an example of an overall experience population tooltip in the chart area of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71950" name="Picture 18" descr="An image of the ACEs and PCEs dashboard showing an example of an overall experience population tooltip in the chart area of a topic dashboard."/>
                    <pic:cNvPicPr/>
                  </pic:nvPicPr>
                  <pic:blipFill>
                    <a:blip r:embed="rId33"/>
                    <a:stretch>
                      <a:fillRect/>
                    </a:stretch>
                  </pic:blipFill>
                  <pic:spPr>
                    <a:xfrm>
                      <a:off x="0" y="0"/>
                      <a:ext cx="5913632" cy="1440305"/>
                    </a:xfrm>
                    <a:prstGeom prst="rect">
                      <a:avLst/>
                    </a:prstGeom>
                    <a:ln w="3175">
                      <a:solidFill>
                        <a:schemeClr val="tx1"/>
                      </a:solidFill>
                    </a:ln>
                  </pic:spPr>
                </pic:pic>
              </a:graphicData>
            </a:graphic>
          </wp:inline>
        </w:drawing>
      </w:r>
      <w:r w:rsidR="008904FC">
        <w:br/>
      </w:r>
      <w:r w:rsidR="00614CF2">
        <w:t>Hover over the Overall Reference line to show the estimated percent reporting the experience for the overall population.  </w:t>
      </w:r>
    </w:p>
    <w:p w14:paraId="5827343C" w14:textId="77777777" w:rsidR="00614CF2" w:rsidRDefault="00614CF2" w:rsidP="008F059C">
      <w:pPr>
        <w:pStyle w:val="Heading4"/>
        <w:rPr>
          <w:rFonts w:eastAsia="Times New Roman"/>
        </w:rPr>
      </w:pPr>
      <w:r w:rsidRPr="00614CF2">
        <w:rPr>
          <w:rFonts w:eastAsia="Times New Roman"/>
        </w:rPr>
        <w:t>Experience Population Bar  </w:t>
      </w:r>
    </w:p>
    <w:p w14:paraId="730BC8D2" w14:textId="6FFC021C" w:rsidR="00614CF2" w:rsidRPr="008904FC" w:rsidRDefault="00104BDF" w:rsidP="008F059C">
      <w:r w:rsidRPr="00104BDF">
        <w:rPr>
          <w:noProof/>
        </w:rPr>
        <w:drawing>
          <wp:inline distT="0" distB="0" distL="0" distR="0" wp14:anchorId="31E9E4E2" wp14:editId="2D39E3CE">
            <wp:extent cx="5906012" cy="1440305"/>
            <wp:effectExtent l="19050" t="19050" r="19050" b="26670"/>
            <wp:docPr id="1184071810" name="Picture 19" descr="An image of the ACEs and PCEs dashboard showing examples of experience population bars in the chart area of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71810" name="Picture 19" descr="An image of the ACEs and PCEs dashboard showing examples of experience population bars in the chart area of a topic dashboard."/>
                    <pic:cNvPicPr/>
                  </pic:nvPicPr>
                  <pic:blipFill>
                    <a:blip r:embed="rId34"/>
                    <a:stretch>
                      <a:fillRect/>
                    </a:stretch>
                  </pic:blipFill>
                  <pic:spPr>
                    <a:xfrm>
                      <a:off x="0" y="0"/>
                      <a:ext cx="5906012" cy="1440305"/>
                    </a:xfrm>
                    <a:prstGeom prst="rect">
                      <a:avLst/>
                    </a:prstGeom>
                    <a:ln w="3175">
                      <a:solidFill>
                        <a:schemeClr val="tx1"/>
                      </a:solidFill>
                    </a:ln>
                  </pic:spPr>
                </pic:pic>
              </a:graphicData>
            </a:graphic>
          </wp:inline>
        </w:drawing>
      </w:r>
      <w:r w:rsidR="008904FC">
        <w:br/>
      </w:r>
      <w:r w:rsidR="00614CF2">
        <w:t>The experience population bar represents the population’s estimated percent reporting the experience. The label in the middle of the bar is the estimated percent reporting the experience for the population.  </w:t>
      </w:r>
    </w:p>
    <w:p w14:paraId="26241721" w14:textId="77777777" w:rsidR="00614CF2" w:rsidRDefault="00614CF2" w:rsidP="008F059C">
      <w:pPr>
        <w:pStyle w:val="Heading4"/>
        <w:rPr>
          <w:rFonts w:eastAsia="Times New Roman"/>
        </w:rPr>
      </w:pPr>
      <w:r w:rsidRPr="00614CF2">
        <w:rPr>
          <w:rFonts w:eastAsia="Times New Roman"/>
        </w:rPr>
        <w:lastRenderedPageBreak/>
        <w:t>Experience Population Bar Tooltip  </w:t>
      </w:r>
    </w:p>
    <w:p w14:paraId="519803C3" w14:textId="1EBBD654" w:rsidR="00614CF2" w:rsidRPr="00C65414" w:rsidRDefault="00331674" w:rsidP="008F059C">
      <w:r w:rsidRPr="00331674">
        <w:rPr>
          <w:noProof/>
        </w:rPr>
        <w:drawing>
          <wp:inline distT="0" distB="0" distL="0" distR="0" wp14:anchorId="271A134F" wp14:editId="4308206F">
            <wp:extent cx="5913632" cy="1432684"/>
            <wp:effectExtent l="19050" t="19050" r="11430" b="15240"/>
            <wp:docPr id="465717657" name="Picture 20" descr="An image of the ACEs and PCEs dashboard showing how to view additional information about the experience population using the tooltip function in the chart area of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17657" name="Picture 20" descr="An image of the ACEs and PCEs dashboard showing how to view additional information about the experience population using the tooltip function in the chart area of a topic dashboard."/>
                    <pic:cNvPicPr/>
                  </pic:nvPicPr>
                  <pic:blipFill>
                    <a:blip r:embed="rId35"/>
                    <a:stretch>
                      <a:fillRect/>
                    </a:stretch>
                  </pic:blipFill>
                  <pic:spPr>
                    <a:xfrm>
                      <a:off x="0" y="0"/>
                      <a:ext cx="5913632" cy="1432684"/>
                    </a:xfrm>
                    <a:prstGeom prst="rect">
                      <a:avLst/>
                    </a:prstGeom>
                    <a:ln w="3175">
                      <a:solidFill>
                        <a:schemeClr val="tx1"/>
                      </a:solidFill>
                    </a:ln>
                  </pic:spPr>
                </pic:pic>
              </a:graphicData>
            </a:graphic>
          </wp:inline>
        </w:drawing>
      </w:r>
      <w:r w:rsidR="00C65414">
        <w:br/>
      </w:r>
      <w:r w:rsidR="00614CF2">
        <w:t>Hover over a bar to view more detailed survey data information about the experience population. It provides information about the experience, survey year, topic, population group, population, percent reporting the experience and sample size. This information can be helpful when interpreting the data  </w:t>
      </w:r>
    </w:p>
    <w:p w14:paraId="06C50F37" w14:textId="2E1E96FF" w:rsidR="00C65414" w:rsidRPr="00C65414" w:rsidRDefault="00614CF2" w:rsidP="00C65414">
      <w:pPr>
        <w:pStyle w:val="Heading4"/>
        <w:rPr>
          <w:rFonts w:eastAsia="Times New Roman"/>
        </w:rPr>
      </w:pPr>
      <w:r w:rsidRPr="00614CF2">
        <w:rPr>
          <w:rFonts w:eastAsia="Times New Roman"/>
        </w:rPr>
        <w:t>Chart Axis  </w:t>
      </w:r>
    </w:p>
    <w:p w14:paraId="3E67F87F" w14:textId="74E26D46" w:rsidR="00614CF2" w:rsidRPr="00614CF2" w:rsidRDefault="00F52A18" w:rsidP="008F059C">
      <w:pPr>
        <w:rPr>
          <w:rFonts w:ascii="Segoe UI" w:hAnsi="Segoe UI" w:cs="Segoe UI"/>
          <w:sz w:val="18"/>
          <w:szCs w:val="18"/>
        </w:rPr>
      </w:pPr>
      <w:r w:rsidRPr="00F52A18">
        <w:rPr>
          <w:noProof/>
        </w:rPr>
        <w:drawing>
          <wp:inline distT="0" distB="0" distL="0" distR="0" wp14:anchorId="2D870CBE" wp14:editId="31BB7043">
            <wp:extent cx="5921253" cy="3002540"/>
            <wp:effectExtent l="19050" t="19050" r="22860" b="26670"/>
            <wp:docPr id="932115128" name="Picture 21" descr="An image of the ACEs and PCEs dashboard showing the horizontal chart axis in the chart area of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15128" name="Picture 21" descr="An image of the ACEs and PCEs dashboard showing the horizontal chart axis in the chart area of a  topic dashboard."/>
                    <pic:cNvPicPr/>
                  </pic:nvPicPr>
                  <pic:blipFill>
                    <a:blip r:embed="rId36"/>
                    <a:stretch>
                      <a:fillRect/>
                    </a:stretch>
                  </pic:blipFill>
                  <pic:spPr>
                    <a:xfrm>
                      <a:off x="0" y="0"/>
                      <a:ext cx="5921253" cy="3002540"/>
                    </a:xfrm>
                    <a:prstGeom prst="rect">
                      <a:avLst/>
                    </a:prstGeom>
                    <a:ln w="3175">
                      <a:solidFill>
                        <a:schemeClr val="tx1"/>
                      </a:solidFill>
                    </a:ln>
                  </pic:spPr>
                </pic:pic>
              </a:graphicData>
            </a:graphic>
          </wp:inline>
        </w:drawing>
      </w:r>
      <w:r w:rsidR="00614CF2">
        <w:t>The chart axis displays the range of the estimated percent representing the experience from 0% to 100%.  </w:t>
      </w:r>
    </w:p>
    <w:p w14:paraId="3B3B2A28" w14:textId="77777777" w:rsidR="00231590" w:rsidRDefault="00231590" w:rsidP="5D6EAF2B">
      <w:pPr>
        <w:rPr>
          <w:rFonts w:asciiTheme="majorHAnsi" w:eastAsia="Times New Roman" w:hAnsiTheme="majorHAnsi" w:cstheme="majorBidi"/>
          <w:color w:val="2F5496" w:themeColor="accent1" w:themeShade="BF"/>
          <w:sz w:val="26"/>
          <w:szCs w:val="26"/>
        </w:rPr>
      </w:pPr>
      <w:bookmarkStart w:id="18" w:name="_Toc143086303"/>
      <w:r w:rsidRPr="5D6EAF2B">
        <w:rPr>
          <w:rFonts w:eastAsia="Times New Roman"/>
        </w:rPr>
        <w:br w:type="page"/>
      </w:r>
    </w:p>
    <w:p w14:paraId="35B4FED9" w14:textId="000AD933" w:rsidR="00614CF2" w:rsidRPr="00614CF2" w:rsidRDefault="00614CF2" w:rsidP="008F059C">
      <w:pPr>
        <w:pStyle w:val="Heading2"/>
        <w:rPr>
          <w:rFonts w:ascii="Segoe UI" w:eastAsia="Times New Roman" w:hAnsi="Segoe UI" w:cs="Segoe UI"/>
          <w:sz w:val="18"/>
          <w:szCs w:val="18"/>
        </w:rPr>
      </w:pPr>
      <w:bookmarkStart w:id="19" w:name="_Toc155626821"/>
      <w:r w:rsidRPr="00614CF2">
        <w:rPr>
          <w:rFonts w:eastAsia="Times New Roman"/>
        </w:rPr>
        <w:lastRenderedPageBreak/>
        <w:t>Dashboard Display Options </w:t>
      </w:r>
      <w:bookmarkEnd w:id="18"/>
      <w:bookmarkEnd w:id="19"/>
      <w:r w:rsidRPr="00614CF2">
        <w:rPr>
          <w:rFonts w:eastAsia="Times New Roman"/>
        </w:rPr>
        <w:t> </w:t>
      </w:r>
    </w:p>
    <w:p w14:paraId="7BA19515" w14:textId="6463EFDD" w:rsidR="00614CF2" w:rsidRPr="00614CF2" w:rsidRDefault="00614CF2" w:rsidP="008F059C">
      <w:pPr>
        <w:rPr>
          <w:rFonts w:ascii="Segoe UI" w:hAnsi="Segoe UI" w:cs="Segoe UI"/>
          <w:sz w:val="18"/>
          <w:szCs w:val="18"/>
        </w:rPr>
      </w:pPr>
      <w:r w:rsidRPr="00614CF2">
        <w:t>There are options to show or hide additional data on the topic dashboard, confidence interval data</w:t>
      </w:r>
      <w:r w:rsidR="00FE3AB8">
        <w:t>,</w:t>
      </w:r>
      <w:r w:rsidRPr="00614CF2">
        <w:t xml:space="preserve"> and information about the survey population groups and experiences. The option selected for these display options is applied across all topic dashboards in the application.  </w:t>
      </w:r>
    </w:p>
    <w:p w14:paraId="00E1470F" w14:textId="77777777" w:rsidR="00614CF2" w:rsidRPr="00AA0FB0" w:rsidRDefault="00614CF2" w:rsidP="00AA0FB0">
      <w:pPr>
        <w:pStyle w:val="Heading3"/>
      </w:pPr>
      <w:bookmarkStart w:id="20" w:name="_Toc143086304"/>
      <w:r w:rsidRPr="00AA0FB0">
        <w:t>Show or Hide Confidence Interval Option </w:t>
      </w:r>
      <w:bookmarkEnd w:id="20"/>
      <w:r w:rsidRPr="00AA0FB0">
        <w:t> </w:t>
      </w:r>
    </w:p>
    <w:p w14:paraId="5D6FCAD0" w14:textId="17F37F35" w:rsidR="00614CF2" w:rsidRPr="00614CF2" w:rsidRDefault="00A43908" w:rsidP="008F059C">
      <w:pPr>
        <w:rPr>
          <w:rFonts w:ascii="Segoe UI" w:hAnsi="Segoe UI" w:cs="Segoe UI"/>
          <w:sz w:val="18"/>
          <w:szCs w:val="18"/>
        </w:rPr>
      </w:pPr>
      <w:r w:rsidRPr="00A43908">
        <w:rPr>
          <w:noProof/>
        </w:rPr>
        <w:drawing>
          <wp:inline distT="0" distB="0" distL="0" distR="0" wp14:anchorId="7363C541" wp14:editId="0D36DE67">
            <wp:extent cx="5921253" cy="1737511"/>
            <wp:effectExtent l="19050" t="19050" r="22860" b="15240"/>
            <wp:docPr id="832146892" name="Picture 22" descr="An image of the ACEs and PCEs dashboard showing the Show or Hide Confidence Interval Option on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6892" name="Picture 22" descr="An image of the ACEs and PCEs dashboard showing the Show or Hide Confidence Interval Option on a  topic dashboard."/>
                    <pic:cNvPicPr/>
                  </pic:nvPicPr>
                  <pic:blipFill>
                    <a:blip r:embed="rId37"/>
                    <a:stretch>
                      <a:fillRect/>
                    </a:stretch>
                  </pic:blipFill>
                  <pic:spPr>
                    <a:xfrm>
                      <a:off x="0" y="0"/>
                      <a:ext cx="5921253" cy="1737511"/>
                    </a:xfrm>
                    <a:prstGeom prst="rect">
                      <a:avLst/>
                    </a:prstGeom>
                    <a:ln w="3175">
                      <a:solidFill>
                        <a:schemeClr val="tx1"/>
                      </a:solidFill>
                    </a:ln>
                  </pic:spPr>
                </pic:pic>
              </a:graphicData>
            </a:graphic>
          </wp:inline>
        </w:drawing>
      </w:r>
      <w:r w:rsidR="00614CF2">
        <w:t xml:space="preserve">Use the </w:t>
      </w:r>
      <w:r w:rsidR="00614CF2" w:rsidRPr="6B0765E0">
        <w:rPr>
          <w:b/>
          <w:bCs/>
        </w:rPr>
        <w:t>Show or Hide Confidence Interval Option</w:t>
      </w:r>
      <w:r w:rsidR="00614CF2">
        <w:t xml:space="preserve"> to show or hide a confidence interval reference line on the chart for each experience population. The option selected is applied to all topic dashboard</w:t>
      </w:r>
      <w:r w:rsidR="006F650F">
        <w:t>s</w:t>
      </w:r>
      <w:r w:rsidR="00614CF2">
        <w:t xml:space="preserve"> in the application. The default selection is to hide the confidence interval on the chart.  </w:t>
      </w:r>
    </w:p>
    <w:p w14:paraId="24C46887" w14:textId="77777777" w:rsidR="00614CF2" w:rsidRPr="00614CF2" w:rsidRDefault="00614CF2" w:rsidP="008F059C">
      <w:pPr>
        <w:pStyle w:val="Heading4"/>
        <w:rPr>
          <w:rFonts w:ascii="Segoe UI" w:eastAsia="Times New Roman" w:hAnsi="Segoe UI" w:cs="Segoe UI"/>
          <w:sz w:val="18"/>
          <w:szCs w:val="18"/>
        </w:rPr>
      </w:pPr>
      <w:r w:rsidRPr="00614CF2">
        <w:rPr>
          <w:rFonts w:eastAsia="Times New Roman"/>
        </w:rPr>
        <w:t>Changing the Show or Hide Confidence Interval Option  </w:t>
      </w:r>
    </w:p>
    <w:p w14:paraId="6DED32F2" w14:textId="0CA7DCEC" w:rsidR="008F059C" w:rsidRDefault="002052F2" w:rsidP="008F059C">
      <w:r w:rsidRPr="002052F2">
        <w:rPr>
          <w:noProof/>
        </w:rPr>
        <w:drawing>
          <wp:inline distT="0" distB="0" distL="0" distR="0" wp14:anchorId="1ED2F785" wp14:editId="7CD55FC5">
            <wp:extent cx="5913632" cy="3200677"/>
            <wp:effectExtent l="19050" t="19050" r="11430" b="19050"/>
            <wp:docPr id="1225764577" name="Picture 23" descr="An image of the ACEs and PCEs dashboard showing the Show or Hide Confidence Interval Option on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64577" name="Picture 23" descr="An image of the ACEs and PCEs dashboard showing the Show or Hide Confidence Interval Option on a  topic dashboard."/>
                    <pic:cNvPicPr/>
                  </pic:nvPicPr>
                  <pic:blipFill>
                    <a:blip r:embed="rId38"/>
                    <a:stretch>
                      <a:fillRect/>
                    </a:stretch>
                  </pic:blipFill>
                  <pic:spPr>
                    <a:xfrm>
                      <a:off x="0" y="0"/>
                      <a:ext cx="5913632" cy="3200677"/>
                    </a:xfrm>
                    <a:prstGeom prst="rect">
                      <a:avLst/>
                    </a:prstGeom>
                    <a:ln w="3175">
                      <a:solidFill>
                        <a:schemeClr val="tx1"/>
                      </a:solidFill>
                    </a:ln>
                  </pic:spPr>
                </pic:pic>
              </a:graphicData>
            </a:graphic>
          </wp:inline>
        </w:drawing>
      </w:r>
    </w:p>
    <w:p w14:paraId="5511C851" w14:textId="61CC1923" w:rsidR="00614CF2" w:rsidRPr="008F059C" w:rsidRDefault="00614CF2" w:rsidP="006015A7">
      <w:pPr>
        <w:pStyle w:val="ListParagraph"/>
        <w:numPr>
          <w:ilvl w:val="0"/>
          <w:numId w:val="11"/>
        </w:numPr>
      </w:pPr>
      <w:r w:rsidRPr="008F059C">
        <w:rPr>
          <w:rFonts w:ascii="Calibri" w:hAnsi="Calibri" w:cs="Calibri"/>
        </w:rPr>
        <w:t xml:space="preserve">At the </w:t>
      </w:r>
      <w:r w:rsidRPr="008F059C">
        <w:rPr>
          <w:rFonts w:ascii="Calibri" w:hAnsi="Calibri" w:cs="Calibri"/>
          <w:b/>
          <w:bCs/>
        </w:rPr>
        <w:t>Show or Hide Confidence Interval Option</w:t>
      </w:r>
      <w:r w:rsidRPr="008F059C">
        <w:rPr>
          <w:rFonts w:ascii="Calibri" w:hAnsi="Calibri" w:cs="Calibri"/>
        </w:rPr>
        <w:t xml:space="preserve"> prompt, click the drop-down arrow to the right of the filter. A list of filter values is displayed.  </w:t>
      </w:r>
    </w:p>
    <w:p w14:paraId="263EB4ED" w14:textId="77777777" w:rsidR="00614CF2" w:rsidRPr="008F059C" w:rsidRDefault="00614CF2" w:rsidP="006015A7">
      <w:pPr>
        <w:pStyle w:val="ListParagraph"/>
        <w:numPr>
          <w:ilvl w:val="0"/>
          <w:numId w:val="11"/>
        </w:numPr>
        <w:rPr>
          <w:rFonts w:ascii="Calibri" w:hAnsi="Calibri" w:cs="Calibri"/>
        </w:rPr>
      </w:pPr>
      <w:r w:rsidRPr="008F059C">
        <w:rPr>
          <w:rFonts w:ascii="Calibri" w:hAnsi="Calibri" w:cs="Calibri"/>
        </w:rPr>
        <w:t>Select the show or hide option. The chart is updated to show or hide the confidence interval reference line based on your selection.  </w:t>
      </w:r>
    </w:p>
    <w:p w14:paraId="4EAFB858" w14:textId="77777777" w:rsidR="00614CF2" w:rsidRPr="008F059C" w:rsidRDefault="00614CF2" w:rsidP="006015A7">
      <w:pPr>
        <w:pStyle w:val="ListParagraph"/>
        <w:numPr>
          <w:ilvl w:val="0"/>
          <w:numId w:val="11"/>
        </w:numPr>
        <w:rPr>
          <w:rFonts w:ascii="Calibri" w:hAnsi="Calibri" w:cs="Calibri"/>
        </w:rPr>
      </w:pPr>
      <w:r w:rsidRPr="008F059C">
        <w:rPr>
          <w:rFonts w:ascii="Calibri" w:hAnsi="Calibri" w:cs="Calibri"/>
        </w:rPr>
        <w:t>When the option to show the confidence interval is selected, a horizontal reference line representing the confidence interval is displayed for each experience population bar.  </w:t>
      </w:r>
    </w:p>
    <w:p w14:paraId="463FF66A" w14:textId="77777777" w:rsidR="00614CF2" w:rsidRPr="00614CF2" w:rsidRDefault="00614CF2" w:rsidP="008F059C">
      <w:pPr>
        <w:pStyle w:val="Heading4"/>
        <w:rPr>
          <w:rFonts w:ascii="Segoe UI" w:eastAsia="Times New Roman" w:hAnsi="Segoe UI" w:cs="Segoe UI"/>
          <w:sz w:val="18"/>
          <w:szCs w:val="18"/>
        </w:rPr>
      </w:pPr>
      <w:r w:rsidRPr="00614CF2">
        <w:rPr>
          <w:rFonts w:eastAsia="Times New Roman"/>
        </w:rPr>
        <w:lastRenderedPageBreak/>
        <w:t>Confidence Interval Reference Line  </w:t>
      </w:r>
    </w:p>
    <w:p w14:paraId="1EDD104F" w14:textId="3997DC74" w:rsidR="00614CF2" w:rsidRPr="00614CF2" w:rsidRDefault="00614CF2" w:rsidP="008F059C">
      <w:pPr>
        <w:rPr>
          <w:rFonts w:ascii="Segoe UI" w:hAnsi="Segoe UI" w:cs="Segoe UI"/>
          <w:sz w:val="18"/>
          <w:szCs w:val="18"/>
        </w:rPr>
      </w:pPr>
      <w:r w:rsidRPr="00614CF2">
        <w:t xml:space="preserve">The confidence interval is the range of estimates of the true prevalence we may expect to see 95% of the time if we redid the survey sample. This can be an important statistic when interpreting our confidence in the data, based on how this information was collected through surveys from a sample of the population. More about survey sampling and confidence intervals can be found in the </w:t>
      </w:r>
      <w:hyperlink w:anchor="_About_the_Data" w:tgtFrame="_blank" w:history="1">
        <w:r w:rsidRPr="00614CF2">
          <w:rPr>
            <w:color w:val="0000FF"/>
            <w:u w:val="single"/>
          </w:rPr>
          <w:t>About the Data</w:t>
        </w:r>
      </w:hyperlink>
      <w:r w:rsidRPr="00614CF2">
        <w:t xml:space="preserve"> section below of this guide.  </w:t>
      </w:r>
    </w:p>
    <w:p w14:paraId="21C76B56" w14:textId="77777777" w:rsidR="00614CF2" w:rsidRPr="00614CF2" w:rsidRDefault="00614CF2" w:rsidP="008F059C">
      <w:pPr>
        <w:pStyle w:val="Heading4"/>
        <w:rPr>
          <w:rFonts w:ascii="Segoe UI" w:eastAsia="Times New Roman" w:hAnsi="Segoe UI" w:cs="Segoe UI"/>
          <w:sz w:val="18"/>
          <w:szCs w:val="18"/>
        </w:rPr>
      </w:pPr>
      <w:r w:rsidRPr="00614CF2">
        <w:rPr>
          <w:rFonts w:eastAsia="Times New Roman"/>
        </w:rPr>
        <w:t>Confidence Interval Tooltip  </w:t>
      </w:r>
    </w:p>
    <w:p w14:paraId="567D4C2B" w14:textId="62F022D0" w:rsidR="00614CF2" w:rsidRPr="00101C02" w:rsidRDefault="00A539B8" w:rsidP="00101C02">
      <w:pPr>
        <w:rPr>
          <w:rFonts w:ascii="Segoe UI" w:hAnsi="Segoe UI" w:cs="Segoe UI"/>
          <w:sz w:val="18"/>
          <w:szCs w:val="18"/>
        </w:rPr>
      </w:pPr>
      <w:r w:rsidRPr="00A539B8">
        <w:rPr>
          <w:noProof/>
        </w:rPr>
        <w:drawing>
          <wp:inline distT="0" distB="0" distL="0" distR="0" wp14:anchorId="31747D99" wp14:editId="20E8AC87">
            <wp:extent cx="5890770" cy="3177815"/>
            <wp:effectExtent l="19050" t="19050" r="15240" b="22860"/>
            <wp:docPr id="1129973912" name="Picture 24" descr="An image of the ACEs and PCEs dashboard showing how to display the confidence interval data using the tooltip function in the chart area of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73912" name="Picture 24" descr="An image of the ACEs and PCEs dashboard showing how to display the confidence interval data using the tooltip function in the chart area of a  topic dashboard."/>
                    <pic:cNvPicPr/>
                  </pic:nvPicPr>
                  <pic:blipFill>
                    <a:blip r:embed="rId39"/>
                    <a:stretch>
                      <a:fillRect/>
                    </a:stretch>
                  </pic:blipFill>
                  <pic:spPr>
                    <a:xfrm>
                      <a:off x="0" y="0"/>
                      <a:ext cx="5890770" cy="3177815"/>
                    </a:xfrm>
                    <a:prstGeom prst="rect">
                      <a:avLst/>
                    </a:prstGeom>
                    <a:ln w="3175">
                      <a:solidFill>
                        <a:schemeClr val="tx1"/>
                      </a:solidFill>
                    </a:ln>
                  </pic:spPr>
                </pic:pic>
              </a:graphicData>
            </a:graphic>
          </wp:inline>
        </w:drawing>
      </w:r>
      <w:r w:rsidR="00614CF2">
        <w:t>Hover over a confidence interval reference line to view the information about the lower confidence level of percent and the upper confidence level of percent. </w:t>
      </w:r>
    </w:p>
    <w:p w14:paraId="1FDFE511" w14:textId="77777777" w:rsidR="00614CF2" w:rsidRPr="00614CF2" w:rsidRDefault="00614CF2" w:rsidP="008F059C">
      <w:pPr>
        <w:pStyle w:val="Heading3"/>
        <w:rPr>
          <w:rFonts w:ascii="Segoe UI" w:eastAsia="Times New Roman" w:hAnsi="Segoe UI" w:cs="Segoe UI"/>
          <w:sz w:val="18"/>
          <w:szCs w:val="18"/>
        </w:rPr>
      </w:pPr>
      <w:bookmarkStart w:id="21" w:name="_Toc143086305"/>
      <w:r w:rsidRPr="00614CF2">
        <w:rPr>
          <w:rFonts w:eastAsia="Times New Roman"/>
        </w:rPr>
        <w:lastRenderedPageBreak/>
        <w:t>Show or Hide Information About the Experiences </w:t>
      </w:r>
      <w:bookmarkEnd w:id="21"/>
      <w:r w:rsidRPr="00614CF2">
        <w:rPr>
          <w:rFonts w:eastAsia="Times New Roman"/>
        </w:rPr>
        <w:t> </w:t>
      </w:r>
    </w:p>
    <w:p w14:paraId="6B636FAD" w14:textId="38F601E7" w:rsidR="00614CF2" w:rsidRPr="00614CF2" w:rsidRDefault="00370327" w:rsidP="008F059C">
      <w:pPr>
        <w:rPr>
          <w:rFonts w:ascii="Segoe UI" w:hAnsi="Segoe UI" w:cs="Segoe UI"/>
          <w:sz w:val="18"/>
          <w:szCs w:val="18"/>
        </w:rPr>
      </w:pPr>
      <w:r w:rsidRPr="00370327">
        <w:rPr>
          <w:noProof/>
        </w:rPr>
        <w:drawing>
          <wp:inline distT="0" distB="0" distL="0" distR="0" wp14:anchorId="50B3D475" wp14:editId="4E926F6F">
            <wp:extent cx="5898391" cy="3193057"/>
            <wp:effectExtent l="19050" t="19050" r="26670" b="26670"/>
            <wp:docPr id="715782404" name="Picture 25" descr="An image of the ACEs and PCEs dashboard showing how to use the Show or Hide Information About the Experiences Option on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82404" name="Picture 25" descr="An image of the ACEs and PCEs dashboard showing how to use the Show or Hide Information About the Experiences Option on a topic dashboard."/>
                    <pic:cNvPicPr/>
                  </pic:nvPicPr>
                  <pic:blipFill>
                    <a:blip r:embed="rId40"/>
                    <a:stretch>
                      <a:fillRect/>
                    </a:stretch>
                  </pic:blipFill>
                  <pic:spPr>
                    <a:xfrm>
                      <a:off x="0" y="0"/>
                      <a:ext cx="5898391" cy="3193057"/>
                    </a:xfrm>
                    <a:prstGeom prst="rect">
                      <a:avLst/>
                    </a:prstGeom>
                    <a:ln w="3175">
                      <a:solidFill>
                        <a:schemeClr val="tx1"/>
                      </a:solidFill>
                    </a:ln>
                  </pic:spPr>
                </pic:pic>
              </a:graphicData>
            </a:graphic>
          </wp:inline>
        </w:drawing>
      </w:r>
      <w:r w:rsidR="00614CF2">
        <w:t>Use the Show or Hide Information About the Experiences to show or hide additional information about the population groups and experiences to the right of the chart. The option selected is applied to all topic dashboard</w:t>
      </w:r>
      <w:r w:rsidR="007E6FEF">
        <w:t>s</w:t>
      </w:r>
      <w:r w:rsidR="00614CF2">
        <w:t xml:space="preserve"> in the application. The default selection is to hide the information about the experiences on the topic dashboard.  </w:t>
      </w:r>
    </w:p>
    <w:p w14:paraId="60C02A05" w14:textId="77777777" w:rsidR="00614CF2" w:rsidRPr="00614CF2" w:rsidRDefault="00614CF2" w:rsidP="008F059C">
      <w:pPr>
        <w:pStyle w:val="Heading4"/>
        <w:rPr>
          <w:rFonts w:ascii="Segoe UI" w:eastAsia="Times New Roman" w:hAnsi="Segoe UI" w:cs="Segoe UI"/>
          <w:sz w:val="18"/>
          <w:szCs w:val="18"/>
        </w:rPr>
      </w:pPr>
      <w:r w:rsidRPr="00614CF2">
        <w:rPr>
          <w:rFonts w:eastAsia="Times New Roman"/>
        </w:rPr>
        <w:t>Changing the Show or Hide Information About the Experiences Option  </w:t>
      </w:r>
    </w:p>
    <w:p w14:paraId="4718EA7E" w14:textId="0EF2E609" w:rsidR="00614CF2" w:rsidRPr="00614CF2" w:rsidRDefault="001A727D" w:rsidP="008F059C">
      <w:pPr>
        <w:rPr>
          <w:rFonts w:ascii="Segoe UI" w:hAnsi="Segoe UI" w:cs="Segoe UI"/>
          <w:sz w:val="18"/>
          <w:szCs w:val="18"/>
        </w:rPr>
      </w:pPr>
      <w:r w:rsidRPr="001A727D">
        <w:rPr>
          <w:rFonts w:ascii="Segoe UI" w:hAnsi="Segoe UI" w:cs="Segoe UI"/>
          <w:noProof/>
          <w:sz w:val="18"/>
          <w:szCs w:val="18"/>
        </w:rPr>
        <w:drawing>
          <wp:inline distT="0" distB="0" distL="0" distR="0" wp14:anchorId="176FA83C" wp14:editId="7224C70B">
            <wp:extent cx="5921253" cy="1920406"/>
            <wp:effectExtent l="19050" t="19050" r="22860" b="22860"/>
            <wp:docPr id="1435727803" name="Picture 26" descr="An image of the ACEs and PCEs dashboard showing how to use the Show or Hide Information About the Experiences Option on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27803" name="Picture 26" descr="An image of the ACEs and PCEs dashboard showing how to use the Show or Hide Information About the Experiences Option on a topic dashboard."/>
                    <pic:cNvPicPr/>
                  </pic:nvPicPr>
                  <pic:blipFill>
                    <a:blip r:embed="rId41"/>
                    <a:stretch>
                      <a:fillRect/>
                    </a:stretch>
                  </pic:blipFill>
                  <pic:spPr>
                    <a:xfrm>
                      <a:off x="0" y="0"/>
                      <a:ext cx="5921253" cy="1920406"/>
                    </a:xfrm>
                    <a:prstGeom prst="rect">
                      <a:avLst/>
                    </a:prstGeom>
                    <a:ln w="3175">
                      <a:solidFill>
                        <a:schemeClr val="tx1"/>
                      </a:solidFill>
                    </a:ln>
                  </pic:spPr>
                </pic:pic>
              </a:graphicData>
            </a:graphic>
          </wp:inline>
        </w:drawing>
      </w:r>
    </w:p>
    <w:p w14:paraId="21E8B419" w14:textId="77777777" w:rsidR="00614CF2" w:rsidRPr="008F059C" w:rsidRDefault="00614CF2" w:rsidP="006015A7">
      <w:pPr>
        <w:pStyle w:val="ListParagraph"/>
        <w:numPr>
          <w:ilvl w:val="0"/>
          <w:numId w:val="12"/>
        </w:numPr>
        <w:rPr>
          <w:rFonts w:ascii="Calibri" w:hAnsi="Calibri" w:cs="Calibri"/>
        </w:rPr>
      </w:pPr>
      <w:r w:rsidRPr="008F059C">
        <w:rPr>
          <w:rFonts w:ascii="Calibri" w:hAnsi="Calibri" w:cs="Calibri"/>
        </w:rPr>
        <w:t xml:space="preserve">At the </w:t>
      </w:r>
      <w:r w:rsidRPr="008F059C">
        <w:rPr>
          <w:rFonts w:ascii="Calibri" w:hAnsi="Calibri" w:cs="Calibri"/>
          <w:b/>
          <w:bCs/>
        </w:rPr>
        <w:t>Show or Hide Information About the Experiences Option</w:t>
      </w:r>
      <w:r w:rsidRPr="008F059C">
        <w:rPr>
          <w:rFonts w:ascii="Calibri" w:hAnsi="Calibri" w:cs="Calibri"/>
        </w:rPr>
        <w:t xml:space="preserve"> prompt, click the drop-down arrow to the right of the filter. A list of filter values is displayed.  </w:t>
      </w:r>
    </w:p>
    <w:p w14:paraId="7751F221" w14:textId="77777777" w:rsidR="00614CF2" w:rsidRPr="008F059C" w:rsidRDefault="00614CF2" w:rsidP="006015A7">
      <w:pPr>
        <w:pStyle w:val="ListParagraph"/>
        <w:numPr>
          <w:ilvl w:val="0"/>
          <w:numId w:val="12"/>
        </w:numPr>
        <w:rPr>
          <w:rFonts w:ascii="Calibri" w:hAnsi="Calibri" w:cs="Calibri"/>
        </w:rPr>
      </w:pPr>
      <w:r w:rsidRPr="008F059C">
        <w:rPr>
          <w:rFonts w:ascii="Calibri" w:hAnsi="Calibri" w:cs="Calibri"/>
        </w:rPr>
        <w:t xml:space="preserve">Select the show or hide option. The chart is updated to show or hide the </w:t>
      </w:r>
      <w:r w:rsidRPr="008F059C">
        <w:rPr>
          <w:rFonts w:ascii="Calibri" w:hAnsi="Calibri" w:cs="Calibri"/>
          <w:b/>
          <w:bCs/>
        </w:rPr>
        <w:t>Information About the Experiences</w:t>
      </w:r>
      <w:r w:rsidRPr="008F059C">
        <w:rPr>
          <w:rFonts w:ascii="Calibri" w:hAnsi="Calibri" w:cs="Calibri"/>
        </w:rPr>
        <w:t xml:space="preserve"> panel to the right of the bar chart based on your selection.  </w:t>
      </w:r>
    </w:p>
    <w:p w14:paraId="0FEFC227" w14:textId="77777777" w:rsidR="00231590" w:rsidRDefault="00231590" w:rsidP="5D6EAF2B">
      <w:pPr>
        <w:rPr>
          <w:rFonts w:asciiTheme="majorHAnsi" w:eastAsiaTheme="majorEastAsia" w:hAnsiTheme="majorHAnsi" w:cstheme="majorBidi"/>
          <w:i/>
          <w:iCs/>
          <w:color w:val="2F5496" w:themeColor="accent1" w:themeShade="BF"/>
        </w:rPr>
      </w:pPr>
      <w:r>
        <w:br w:type="page"/>
      </w:r>
    </w:p>
    <w:p w14:paraId="1DC2CE08" w14:textId="328ABFE0" w:rsidR="00614CF2" w:rsidRPr="00892676" w:rsidRDefault="00614CF2" w:rsidP="00892676">
      <w:pPr>
        <w:pStyle w:val="Heading4"/>
      </w:pPr>
      <w:r w:rsidRPr="00892676">
        <w:lastRenderedPageBreak/>
        <w:t>Information About the Experiences Panel  </w:t>
      </w:r>
    </w:p>
    <w:p w14:paraId="5566CE10" w14:textId="77777777" w:rsidR="00614CF2" w:rsidRPr="00614CF2" w:rsidRDefault="00614CF2" w:rsidP="00892676">
      <w:pPr>
        <w:rPr>
          <w:rFonts w:ascii="Segoe UI" w:hAnsi="Segoe UI" w:cs="Segoe UI"/>
          <w:sz w:val="18"/>
          <w:szCs w:val="18"/>
        </w:rPr>
      </w:pPr>
      <w:r w:rsidRPr="00614CF2">
        <w:t xml:space="preserve">The </w:t>
      </w:r>
      <w:r w:rsidRPr="00614CF2">
        <w:rPr>
          <w:b/>
          <w:bCs/>
        </w:rPr>
        <w:t>Information About the Experiences</w:t>
      </w:r>
      <w:r w:rsidRPr="00614CF2">
        <w:t xml:space="preserve"> panel displays additional information about the selected population group and experiences.  </w:t>
      </w:r>
    </w:p>
    <w:p w14:paraId="63FC2EC0" w14:textId="4FD944F3" w:rsidR="00614CF2" w:rsidRPr="00614CF2" w:rsidRDefault="00066946" w:rsidP="00892676">
      <w:pPr>
        <w:rPr>
          <w:rFonts w:ascii="Segoe UI" w:eastAsia="Times New Roman" w:hAnsi="Segoe UI" w:cs="Segoe UI"/>
          <w:sz w:val="18"/>
          <w:szCs w:val="18"/>
        </w:rPr>
      </w:pPr>
      <w:r w:rsidRPr="00066946">
        <w:rPr>
          <w:rFonts w:ascii="Calibri" w:eastAsia="Times New Roman" w:hAnsi="Calibri" w:cs="Calibri"/>
          <w:noProof/>
        </w:rPr>
        <w:drawing>
          <wp:inline distT="0" distB="0" distL="0" distR="0" wp14:anchorId="5D36EDA0" wp14:editId="2FA861B6">
            <wp:extent cx="5791702" cy="4496190"/>
            <wp:effectExtent l="19050" t="19050" r="19050" b="19050"/>
            <wp:docPr id="1389380731" name="Picture 27" descr="An image of the ACEs and PCEs dashboard showing the information displayed on the topic dashboard when the option to show the information about the experiences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80731" name="Picture 27" descr="An image of the ACEs and PCEs dashboard showing the information displayed on the topic dashboard when the option to show the information about the experiences is selected."/>
                    <pic:cNvPicPr/>
                  </pic:nvPicPr>
                  <pic:blipFill>
                    <a:blip r:embed="rId42"/>
                    <a:stretch>
                      <a:fillRect/>
                    </a:stretch>
                  </pic:blipFill>
                  <pic:spPr>
                    <a:xfrm>
                      <a:off x="0" y="0"/>
                      <a:ext cx="5791702" cy="4496190"/>
                    </a:xfrm>
                    <a:prstGeom prst="rect">
                      <a:avLst/>
                    </a:prstGeom>
                    <a:ln w="3175">
                      <a:solidFill>
                        <a:schemeClr val="tx1"/>
                      </a:solidFill>
                    </a:ln>
                  </pic:spPr>
                </pic:pic>
              </a:graphicData>
            </a:graphic>
          </wp:inline>
        </w:drawing>
      </w:r>
      <w:r w:rsidR="00614CF2" w:rsidRPr="6B0765E0">
        <w:rPr>
          <w:rFonts w:ascii="Calibri" w:eastAsia="Times New Roman" w:hAnsi="Calibri" w:cs="Calibri"/>
        </w:rPr>
        <w:t>  </w:t>
      </w:r>
    </w:p>
    <w:p w14:paraId="5C9A6E04" w14:textId="77777777" w:rsidR="00614CF2" w:rsidRPr="008F059C" w:rsidRDefault="00614CF2" w:rsidP="006015A7">
      <w:pPr>
        <w:pStyle w:val="ListParagraph"/>
        <w:numPr>
          <w:ilvl w:val="0"/>
          <w:numId w:val="13"/>
        </w:numPr>
        <w:rPr>
          <w:rFonts w:ascii="Calibri" w:hAnsi="Calibri" w:cs="Calibri"/>
        </w:rPr>
      </w:pPr>
      <w:r w:rsidRPr="00614CF2">
        <w:t>Information About the Experiences Panel - Population  </w:t>
      </w:r>
    </w:p>
    <w:p w14:paraId="2B7B695E" w14:textId="2B5F1F2F" w:rsidR="00614CF2" w:rsidRPr="00614CF2" w:rsidRDefault="00614CF2" w:rsidP="008F059C">
      <w:pPr>
        <w:rPr>
          <w:rFonts w:ascii="Segoe UI" w:hAnsi="Segoe UI" w:cs="Segoe UI"/>
          <w:sz w:val="18"/>
          <w:szCs w:val="18"/>
        </w:rPr>
      </w:pPr>
      <w:r w:rsidRPr="00614CF2">
        <w:rPr>
          <w:rFonts w:ascii="Calibri" w:hAnsi="Calibri" w:cs="Calibri"/>
        </w:rPr>
        <w:t xml:space="preserve">At the top of the </w:t>
      </w:r>
      <w:r w:rsidRPr="00614CF2">
        <w:rPr>
          <w:rFonts w:ascii="Calibri" w:hAnsi="Calibri" w:cs="Calibri"/>
          <w:b/>
          <w:bCs/>
        </w:rPr>
        <w:t>Information About the Experiences</w:t>
      </w:r>
      <w:r w:rsidRPr="00614CF2">
        <w:rPr>
          <w:rFonts w:ascii="Calibri" w:hAnsi="Calibri" w:cs="Calibri"/>
        </w:rPr>
        <w:t xml:space="preserve"> panel is information about the selected population group. The information states what question was asked of the survey respondents that determined the population they were categorized as on the topic dashboard.  </w:t>
      </w:r>
      <w:r w:rsidR="0016286F">
        <w:rPr>
          <w:rFonts w:ascii="Calibri" w:hAnsi="Calibri" w:cs="Calibri"/>
        </w:rPr>
        <w:t xml:space="preserve">Additionally, users can use the </w:t>
      </w:r>
      <w:r w:rsidR="0016286F">
        <w:rPr>
          <w:rFonts w:ascii="Calibri" w:hAnsi="Calibri" w:cs="Calibri"/>
          <w:b/>
          <w:bCs/>
        </w:rPr>
        <w:t>View Topic Questions</w:t>
      </w:r>
      <w:r w:rsidR="0016286F">
        <w:rPr>
          <w:rFonts w:ascii="Calibri" w:hAnsi="Calibri" w:cs="Calibri"/>
        </w:rPr>
        <w:t xml:space="preserve"> button at the bottom right of the topic dashboard. Refer to </w:t>
      </w:r>
      <w:hyperlink w:anchor="_View_Topic_Questions " w:history="1">
        <w:r w:rsidR="0016286F" w:rsidRPr="005E37B3">
          <w:rPr>
            <w:rStyle w:val="Hyperlink"/>
            <w:rFonts w:ascii="Calibri" w:hAnsi="Calibri" w:cs="Calibri"/>
          </w:rPr>
          <w:t>View Topic Questions</w:t>
        </w:r>
      </w:hyperlink>
      <w:r w:rsidR="00FD72F9">
        <w:rPr>
          <w:rFonts w:ascii="Calibri" w:hAnsi="Calibri" w:cs="Calibri"/>
        </w:rPr>
        <w:t>.</w:t>
      </w:r>
    </w:p>
    <w:p w14:paraId="388613CA" w14:textId="77777777" w:rsidR="00614CF2" w:rsidRPr="008F059C" w:rsidRDefault="00614CF2" w:rsidP="006015A7">
      <w:pPr>
        <w:pStyle w:val="ListParagraph"/>
        <w:numPr>
          <w:ilvl w:val="0"/>
          <w:numId w:val="13"/>
        </w:numPr>
        <w:rPr>
          <w:rFonts w:ascii="Calibri" w:hAnsi="Calibri" w:cs="Calibri"/>
        </w:rPr>
      </w:pPr>
      <w:r w:rsidRPr="00614CF2">
        <w:t>Information About the Experiences Panel – Experiences  </w:t>
      </w:r>
    </w:p>
    <w:p w14:paraId="0AB201A8" w14:textId="77777777" w:rsidR="00614CF2" w:rsidRPr="00614CF2" w:rsidRDefault="00614CF2" w:rsidP="008F059C">
      <w:pPr>
        <w:rPr>
          <w:rFonts w:ascii="Segoe UI" w:hAnsi="Segoe UI" w:cs="Segoe UI"/>
          <w:sz w:val="18"/>
          <w:szCs w:val="18"/>
        </w:rPr>
      </w:pPr>
      <w:r w:rsidRPr="00614CF2">
        <w:rPr>
          <w:rFonts w:ascii="Calibri" w:hAnsi="Calibri" w:cs="Calibri"/>
        </w:rPr>
        <w:t xml:space="preserve">Below the information of the selected population group in the </w:t>
      </w:r>
      <w:r w:rsidRPr="00614CF2">
        <w:rPr>
          <w:rFonts w:ascii="Calibri" w:hAnsi="Calibri" w:cs="Calibri"/>
          <w:b/>
          <w:bCs/>
        </w:rPr>
        <w:t>Information About the Experiences</w:t>
      </w:r>
      <w:r w:rsidRPr="00614CF2">
        <w:rPr>
          <w:rFonts w:ascii="Calibri" w:hAnsi="Calibri" w:cs="Calibri"/>
        </w:rPr>
        <w:t xml:space="preserve"> panel is information about the selected experiences. The information states what question was asked of the survey respondents that determined how their experience was categorized and which responses were included on the topic dashboard. The information is listed in ascending alphabetical order of the experience label on the chart.  </w:t>
      </w:r>
    </w:p>
    <w:p w14:paraId="6CDB7C37" w14:textId="77777777" w:rsidR="0083522E" w:rsidRDefault="0083522E" w:rsidP="5D6EAF2B">
      <w:pPr>
        <w:rPr>
          <w:rFonts w:asciiTheme="majorHAnsi" w:eastAsia="Times New Roman" w:hAnsiTheme="majorHAnsi" w:cstheme="majorBidi"/>
          <w:i/>
          <w:iCs/>
          <w:color w:val="2F5496" w:themeColor="accent1" w:themeShade="BF"/>
        </w:rPr>
      </w:pPr>
      <w:r w:rsidRPr="5D6EAF2B">
        <w:rPr>
          <w:rFonts w:eastAsia="Times New Roman"/>
        </w:rPr>
        <w:br w:type="page"/>
      </w:r>
    </w:p>
    <w:p w14:paraId="244FC659" w14:textId="77777777" w:rsidR="00614CF2" w:rsidRPr="00614CF2" w:rsidRDefault="00614CF2" w:rsidP="008F059C">
      <w:pPr>
        <w:pStyle w:val="Heading4"/>
        <w:rPr>
          <w:rFonts w:ascii="Segoe UI" w:eastAsia="Times New Roman" w:hAnsi="Segoe UI" w:cs="Segoe UI"/>
          <w:sz w:val="18"/>
          <w:szCs w:val="18"/>
        </w:rPr>
      </w:pPr>
      <w:r w:rsidRPr="00614CF2">
        <w:rPr>
          <w:rFonts w:eastAsia="Times New Roman"/>
        </w:rPr>
        <w:lastRenderedPageBreak/>
        <w:t>Information About the Experiences Tooltip  </w:t>
      </w:r>
    </w:p>
    <w:p w14:paraId="237900BA" w14:textId="6DE3915F" w:rsidR="00614CF2" w:rsidRPr="00614CF2" w:rsidRDefault="002F689B" w:rsidP="008F059C">
      <w:pPr>
        <w:rPr>
          <w:rFonts w:ascii="Segoe UI" w:hAnsi="Segoe UI" w:cs="Segoe UI"/>
          <w:sz w:val="18"/>
          <w:szCs w:val="18"/>
        </w:rPr>
      </w:pPr>
      <w:r w:rsidRPr="002F689B">
        <w:rPr>
          <w:rFonts w:ascii="Segoe UI" w:hAnsi="Segoe UI" w:cs="Segoe UI"/>
          <w:noProof/>
          <w:sz w:val="18"/>
          <w:szCs w:val="18"/>
        </w:rPr>
        <w:drawing>
          <wp:inline distT="0" distB="0" distL="0" distR="0" wp14:anchorId="4E4CEAFD" wp14:editId="3E3BD30B">
            <wp:extent cx="5928874" cy="4656223"/>
            <wp:effectExtent l="19050" t="19050" r="15240" b="11430"/>
            <wp:docPr id="416933356" name="Picture 28" descr="An image of the ACEs and PCEs dashboard showing how to display the full text of a cell in the information about the experiences panel using the tooltip feature on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33356" name="Picture 28" descr="An image of the ACEs and PCEs dashboard showing how to display the full text of a cell in the information about the experiences panel using the tooltip feature on a topic dashboard."/>
                    <pic:cNvPicPr/>
                  </pic:nvPicPr>
                  <pic:blipFill>
                    <a:blip r:embed="rId43"/>
                    <a:stretch>
                      <a:fillRect/>
                    </a:stretch>
                  </pic:blipFill>
                  <pic:spPr>
                    <a:xfrm>
                      <a:off x="0" y="0"/>
                      <a:ext cx="5928874" cy="4656223"/>
                    </a:xfrm>
                    <a:prstGeom prst="rect">
                      <a:avLst/>
                    </a:prstGeom>
                    <a:ln w="3175">
                      <a:solidFill>
                        <a:schemeClr val="tx1"/>
                      </a:solidFill>
                    </a:ln>
                  </pic:spPr>
                </pic:pic>
              </a:graphicData>
            </a:graphic>
          </wp:inline>
        </w:drawing>
      </w:r>
    </w:p>
    <w:p w14:paraId="741DA27A" w14:textId="77777777" w:rsidR="00614CF2" w:rsidRPr="00614CF2" w:rsidRDefault="00614CF2" w:rsidP="006015A7">
      <w:pPr>
        <w:pStyle w:val="ListParagraph"/>
        <w:numPr>
          <w:ilvl w:val="0"/>
          <w:numId w:val="14"/>
        </w:numPr>
      </w:pPr>
      <w:r w:rsidRPr="00614CF2">
        <w:t xml:space="preserve">Hover over a cell in the </w:t>
      </w:r>
      <w:r w:rsidRPr="008F059C">
        <w:rPr>
          <w:b/>
          <w:bCs/>
        </w:rPr>
        <w:t>Information About the Experiences</w:t>
      </w:r>
      <w:r w:rsidRPr="00614CF2">
        <w:t xml:space="preserve"> pane  </w:t>
      </w:r>
    </w:p>
    <w:p w14:paraId="2FEF2A64" w14:textId="77777777" w:rsidR="00614CF2" w:rsidRPr="00614CF2" w:rsidRDefault="00614CF2" w:rsidP="006015A7">
      <w:pPr>
        <w:pStyle w:val="ListParagraph"/>
        <w:numPr>
          <w:ilvl w:val="0"/>
          <w:numId w:val="14"/>
        </w:numPr>
      </w:pPr>
      <w:r w:rsidRPr="00614CF2">
        <w:t>to display the full text of the cell.  </w:t>
      </w:r>
    </w:p>
    <w:p w14:paraId="053A12C7" w14:textId="77777777" w:rsidR="00614CF2" w:rsidRPr="00614CF2" w:rsidRDefault="00614CF2" w:rsidP="00D01D2E">
      <w:pPr>
        <w:pStyle w:val="Heading2"/>
        <w:rPr>
          <w:rFonts w:ascii="Segoe UI" w:eastAsia="Times New Roman" w:hAnsi="Segoe UI" w:cs="Segoe UI"/>
          <w:color w:val="1F3763"/>
          <w:sz w:val="18"/>
          <w:szCs w:val="18"/>
        </w:rPr>
      </w:pPr>
      <w:bookmarkStart w:id="22" w:name="_View_Topic_Questions "/>
      <w:bookmarkStart w:id="23" w:name="_Toc155626822"/>
      <w:bookmarkEnd w:id="22"/>
      <w:r w:rsidRPr="00614CF2">
        <w:rPr>
          <w:rFonts w:eastAsia="Times New Roman"/>
        </w:rPr>
        <w:lastRenderedPageBreak/>
        <w:t>View Topic Questions </w:t>
      </w:r>
      <w:bookmarkEnd w:id="23"/>
      <w:r w:rsidRPr="00614CF2">
        <w:rPr>
          <w:rFonts w:eastAsia="Times New Roman"/>
        </w:rPr>
        <w:t> </w:t>
      </w:r>
    </w:p>
    <w:p w14:paraId="3C45C0AD" w14:textId="33A58879" w:rsidR="00D01D2E" w:rsidRDefault="00FC257C" w:rsidP="00D01D2E">
      <w:pPr>
        <w:jc w:val="center"/>
      </w:pPr>
      <w:r w:rsidRPr="00FC257C">
        <w:rPr>
          <w:noProof/>
        </w:rPr>
        <w:drawing>
          <wp:inline distT="0" distB="0" distL="0" distR="0" wp14:anchorId="70715F26" wp14:editId="1336BC3F">
            <wp:extent cx="4572396" cy="4176122"/>
            <wp:effectExtent l="19050" t="19050" r="19050" b="15240"/>
            <wp:docPr id="451535881" name="Picture 29" descr="An image of the ACEs and PCEs dashboard showing how to use the View Topic Questions link to view on a topic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35881" name="Picture 29" descr="An image of the ACEs and PCEs dashboard showing how to use the View Topic Questions link to view on a topic dashboard."/>
                    <pic:cNvPicPr/>
                  </pic:nvPicPr>
                  <pic:blipFill>
                    <a:blip r:embed="rId44"/>
                    <a:stretch>
                      <a:fillRect/>
                    </a:stretch>
                  </pic:blipFill>
                  <pic:spPr>
                    <a:xfrm>
                      <a:off x="0" y="0"/>
                      <a:ext cx="4572396" cy="4176122"/>
                    </a:xfrm>
                    <a:prstGeom prst="rect">
                      <a:avLst/>
                    </a:prstGeom>
                    <a:ln w="3175">
                      <a:solidFill>
                        <a:schemeClr val="tx1"/>
                      </a:solidFill>
                    </a:ln>
                  </pic:spPr>
                </pic:pic>
              </a:graphicData>
            </a:graphic>
          </wp:inline>
        </w:drawing>
      </w:r>
    </w:p>
    <w:p w14:paraId="2F907D82" w14:textId="5AFD8569" w:rsidR="00614CF2" w:rsidRPr="00D01D2E" w:rsidRDefault="00614CF2" w:rsidP="00D01D2E">
      <w:r w:rsidRPr="00614CF2">
        <w:t xml:space="preserve">Use the </w:t>
      </w:r>
      <w:r w:rsidRPr="00614CF2">
        <w:rPr>
          <w:b/>
          <w:bCs/>
        </w:rPr>
        <w:t>View Topic Questions</w:t>
      </w:r>
      <w:r w:rsidRPr="00614CF2">
        <w:t xml:space="preserve"> link, to display a Microsoft Word document in a new Web browser window with information specific to the dashboard topic you are viewing. This document provides the survey questions, by survey, for the experience topic selected. After the experience questions are displayed, subsequent pages provide the survey questions, by survey, for the population groups available in those surveys. All images include alternative text. </w:t>
      </w:r>
    </w:p>
    <w:p w14:paraId="552BBDD7" w14:textId="77777777" w:rsidR="00614CF2" w:rsidRPr="00614CF2" w:rsidRDefault="00614CF2" w:rsidP="00F52C3E">
      <w:pPr>
        <w:pStyle w:val="Heading4"/>
        <w:rPr>
          <w:rFonts w:ascii="Segoe UI" w:eastAsia="Times New Roman" w:hAnsi="Segoe UI" w:cs="Segoe UI"/>
          <w:color w:val="2F5496"/>
          <w:sz w:val="18"/>
          <w:szCs w:val="18"/>
        </w:rPr>
      </w:pPr>
      <w:r w:rsidRPr="00614CF2">
        <w:rPr>
          <w:rFonts w:eastAsia="Times New Roman"/>
        </w:rPr>
        <w:lastRenderedPageBreak/>
        <w:t>Example: Topic Questions Document  </w:t>
      </w:r>
    </w:p>
    <w:p w14:paraId="72C172A7" w14:textId="77777777" w:rsidR="0092580E" w:rsidRDefault="00614CF2" w:rsidP="00F52C3E">
      <w:r>
        <w:t>The following is an example abbreviated topic questions document that starts with the survey questions, by survey, for the experiences of the PCE topic.</w:t>
      </w:r>
      <w:r>
        <w:rPr>
          <w:noProof/>
        </w:rPr>
        <w:drawing>
          <wp:inline distT="0" distB="0" distL="0" distR="0" wp14:anchorId="51BF9D4D" wp14:editId="2F467E19">
            <wp:extent cx="5422392" cy="2359152"/>
            <wp:effectExtent l="19050" t="19050" r="26035" b="22225"/>
            <wp:docPr id="11" name="Picture 11" descr="An image of a topic questions document showing an example of a experience survey question and the responses included and displayed on th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5">
                      <a:extLst>
                        <a:ext uri="{28A0092B-C50C-407E-A947-70E740481C1C}">
                          <a14:useLocalDpi xmlns:a14="http://schemas.microsoft.com/office/drawing/2010/main" val="0"/>
                        </a:ext>
                      </a:extLst>
                    </a:blip>
                    <a:stretch>
                      <a:fillRect/>
                    </a:stretch>
                  </pic:blipFill>
                  <pic:spPr>
                    <a:xfrm>
                      <a:off x="0" y="0"/>
                      <a:ext cx="5422392" cy="2359152"/>
                    </a:xfrm>
                    <a:prstGeom prst="rect">
                      <a:avLst/>
                    </a:prstGeom>
                    <a:ln w="3175">
                      <a:solidFill>
                        <a:schemeClr val="tx1"/>
                      </a:solidFill>
                    </a:ln>
                  </pic:spPr>
                </pic:pic>
              </a:graphicData>
            </a:graphic>
          </wp:inline>
        </w:drawing>
      </w:r>
      <w:r>
        <w:t> </w:t>
      </w:r>
    </w:p>
    <w:p w14:paraId="595B178C" w14:textId="76A9EE9A" w:rsidR="00614CF2" w:rsidRPr="00614CF2" w:rsidRDefault="00614CF2" w:rsidP="00F52C3E">
      <w:pPr>
        <w:rPr>
          <w:rFonts w:ascii="Segoe UI" w:hAnsi="Segoe UI" w:cs="Segoe UI"/>
          <w:sz w:val="18"/>
          <w:szCs w:val="18"/>
        </w:rPr>
      </w:pPr>
      <w:r>
        <w:t>The following is an example abbreviated topic questions document showing the survey questions, by survey, for the population groups available in the surveys for the PCE topic.  </w:t>
      </w:r>
    </w:p>
    <w:p w14:paraId="16A34954" w14:textId="6ADA0458" w:rsidR="00614CF2" w:rsidRPr="00614CF2" w:rsidRDefault="00614CF2" w:rsidP="00F52C3E">
      <w:pPr>
        <w:rPr>
          <w:rFonts w:ascii="Segoe UI" w:eastAsia="Times New Roman" w:hAnsi="Segoe UI" w:cs="Segoe UI"/>
          <w:sz w:val="18"/>
          <w:szCs w:val="18"/>
        </w:rPr>
      </w:pPr>
      <w:r>
        <w:rPr>
          <w:noProof/>
        </w:rPr>
        <w:drawing>
          <wp:inline distT="0" distB="0" distL="0" distR="0" wp14:anchorId="3F027282" wp14:editId="7F1EA3DA">
            <wp:extent cx="5010912" cy="2359152"/>
            <wp:effectExtent l="19050" t="19050" r="18415" b="22225"/>
            <wp:docPr id="10" name="Picture 10" descr="An image of a topic questions document showing an example of a population survey question and the responses included and displayed on th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6">
                      <a:extLst>
                        <a:ext uri="{28A0092B-C50C-407E-A947-70E740481C1C}">
                          <a14:useLocalDpi xmlns:a14="http://schemas.microsoft.com/office/drawing/2010/main" val="0"/>
                        </a:ext>
                      </a:extLst>
                    </a:blip>
                    <a:stretch>
                      <a:fillRect/>
                    </a:stretch>
                  </pic:blipFill>
                  <pic:spPr>
                    <a:xfrm>
                      <a:off x="0" y="0"/>
                      <a:ext cx="5010912" cy="2359152"/>
                    </a:xfrm>
                    <a:prstGeom prst="rect">
                      <a:avLst/>
                    </a:prstGeom>
                    <a:ln w="3175">
                      <a:solidFill>
                        <a:schemeClr val="tx1"/>
                      </a:solidFill>
                    </a:ln>
                  </pic:spPr>
                </pic:pic>
              </a:graphicData>
            </a:graphic>
          </wp:inline>
        </w:drawing>
      </w:r>
    </w:p>
    <w:p w14:paraId="6573F2E6" w14:textId="77777777" w:rsidR="00C9544F" w:rsidRDefault="00C9544F" w:rsidP="5D33D0D1">
      <w:pPr>
        <w:rPr>
          <w:rFonts w:asciiTheme="majorHAnsi" w:eastAsia="Times New Roman" w:hAnsiTheme="majorHAnsi" w:cstheme="majorBidi"/>
          <w:color w:val="2F5496" w:themeColor="accent1" w:themeShade="BF"/>
          <w:sz w:val="26"/>
          <w:szCs w:val="26"/>
        </w:rPr>
      </w:pPr>
      <w:bookmarkStart w:id="24" w:name="_Toc143086306"/>
      <w:r w:rsidRPr="5D33D0D1">
        <w:rPr>
          <w:rFonts w:eastAsia="Times New Roman"/>
        </w:rPr>
        <w:br w:type="page"/>
      </w:r>
    </w:p>
    <w:p w14:paraId="1140CB79" w14:textId="519BEA2F" w:rsidR="00614CF2" w:rsidRPr="00614CF2" w:rsidRDefault="00614CF2" w:rsidP="00F52C3E">
      <w:pPr>
        <w:pStyle w:val="Heading2"/>
        <w:rPr>
          <w:rFonts w:ascii="Segoe UI" w:eastAsia="Times New Roman" w:hAnsi="Segoe UI" w:cs="Segoe UI"/>
          <w:sz w:val="18"/>
          <w:szCs w:val="18"/>
        </w:rPr>
      </w:pPr>
      <w:bookmarkStart w:id="25" w:name="_Toc155626823"/>
      <w:r w:rsidRPr="00614CF2">
        <w:rPr>
          <w:rFonts w:eastAsia="Times New Roman"/>
        </w:rPr>
        <w:lastRenderedPageBreak/>
        <w:t>Downloading the Data</w:t>
      </w:r>
      <w:bookmarkEnd w:id="24"/>
      <w:bookmarkEnd w:id="25"/>
      <w:r w:rsidRPr="00614CF2">
        <w:rPr>
          <w:rFonts w:eastAsia="Times New Roman"/>
        </w:rPr>
        <w:t> </w:t>
      </w:r>
    </w:p>
    <w:p w14:paraId="13D71D60" w14:textId="337FCEEB" w:rsidR="00C9544F" w:rsidRDefault="00B14F0A" w:rsidP="00F52C3E">
      <w:r w:rsidRPr="00B14F0A">
        <w:rPr>
          <w:noProof/>
        </w:rPr>
        <w:drawing>
          <wp:inline distT="0" distB="0" distL="0" distR="0" wp14:anchorId="4931E629" wp14:editId="7E6CEA93">
            <wp:extent cx="5898391" cy="3010161"/>
            <wp:effectExtent l="19050" t="19050" r="26670" b="19050"/>
            <wp:docPr id="779545982" name="Picture 30" descr="An image of the ACEs and PCEs dashboard showing how download a Microsoft Excel file containing similar data displayed on the dashboard and the options to download images, data, crosstabs, PDFs, and PowerPoint slides of the data being viewed in th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45982" name="Picture 30" descr="An image of the ACEs and PCEs dashboard showing how download a Microsoft Excel file containing similar data displayed on the dashboard and the options to download images, data, crosstabs, PDFs, and PowerPoint slides of the data being viewed in the dashboard."/>
                    <pic:cNvPicPr/>
                  </pic:nvPicPr>
                  <pic:blipFill>
                    <a:blip r:embed="rId47"/>
                    <a:stretch>
                      <a:fillRect/>
                    </a:stretch>
                  </pic:blipFill>
                  <pic:spPr>
                    <a:xfrm>
                      <a:off x="0" y="0"/>
                      <a:ext cx="5898391" cy="3010161"/>
                    </a:xfrm>
                    <a:prstGeom prst="rect">
                      <a:avLst/>
                    </a:prstGeom>
                    <a:ln w="3175">
                      <a:solidFill>
                        <a:schemeClr val="tx1"/>
                      </a:solidFill>
                    </a:ln>
                  </pic:spPr>
                </pic:pic>
              </a:graphicData>
            </a:graphic>
          </wp:inline>
        </w:drawing>
      </w:r>
    </w:p>
    <w:p w14:paraId="7DCA9E05" w14:textId="4C577929" w:rsidR="00614CF2" w:rsidRPr="00614CF2" w:rsidRDefault="00614CF2" w:rsidP="57051537">
      <w:pPr>
        <w:pStyle w:val="ListParagraph"/>
        <w:numPr>
          <w:ilvl w:val="0"/>
          <w:numId w:val="24"/>
        </w:numPr>
        <w:rPr>
          <w:rFonts w:ascii="Segoe UI" w:hAnsi="Segoe UI" w:cs="Segoe UI"/>
          <w:sz w:val="18"/>
          <w:szCs w:val="18"/>
        </w:rPr>
      </w:pPr>
      <w:r w:rsidRPr="00614CF2">
        <w:t xml:space="preserve">A Microsoft Excel file containing </w:t>
      </w:r>
      <w:r w:rsidR="003743B3">
        <w:t xml:space="preserve">all </w:t>
      </w:r>
      <w:r w:rsidR="00565E79">
        <w:t xml:space="preserve">the </w:t>
      </w:r>
      <w:r w:rsidRPr="00614CF2">
        <w:t xml:space="preserve">similar data </w:t>
      </w:r>
      <w:r w:rsidR="00565E79">
        <w:t>available</w:t>
      </w:r>
      <w:r w:rsidRPr="00614CF2">
        <w:t xml:space="preserve"> on the dashboard can be downloaded from the main </w:t>
      </w:r>
      <w:r w:rsidRPr="00614CF2">
        <w:rPr>
          <w:i/>
          <w:iCs/>
        </w:rPr>
        <w:t>ACEs and PCEs of Massachusetts Residents</w:t>
      </w:r>
      <w:r w:rsidRPr="00614CF2">
        <w:t xml:space="preserve"> webpage below the dashboard. The file contains data for all surveys included on the current version of the dashboard. Columns include dataset, year, domain, population group, population, construct, sample size, percent, and lower and upper confidence levels.  </w:t>
      </w:r>
    </w:p>
    <w:p w14:paraId="2F45923A" w14:textId="5BC84A7D" w:rsidR="005A0C53" w:rsidRPr="007062BB" w:rsidRDefault="00614CF2" w:rsidP="00F15612">
      <w:pPr>
        <w:pStyle w:val="ListParagraph"/>
        <w:numPr>
          <w:ilvl w:val="0"/>
          <w:numId w:val="24"/>
        </w:numPr>
        <w:rPr>
          <w:rFonts w:ascii="Segoe UI" w:hAnsi="Segoe UI" w:cs="Segoe UI"/>
          <w:sz w:val="18"/>
          <w:szCs w:val="18"/>
        </w:rPr>
      </w:pPr>
      <w:r w:rsidRPr="00614CF2">
        <w:t>Tableau also has options to allow users to download images,</w:t>
      </w:r>
      <w:r w:rsidR="000269E1">
        <w:t xml:space="preserve"> data,</w:t>
      </w:r>
      <w:r w:rsidRPr="00614CF2">
        <w:t xml:space="preserve"> crosstabs, PDFs, and PowerPoint slides of the data being viewed in the dashboard (the drop-down menu for these options is in the bottom right corner of the embedded dashboard).</w:t>
      </w:r>
      <w:r w:rsidR="00C01FB0">
        <w:t xml:space="preserve"> </w:t>
      </w:r>
      <w:r w:rsidR="00914876">
        <w:t xml:space="preserve">For crosstabs, you </w:t>
      </w:r>
      <w:r w:rsidR="00C010FB">
        <w:t>have option</w:t>
      </w:r>
      <w:r w:rsidR="00BF761A">
        <w:t>s</w:t>
      </w:r>
      <w:r w:rsidR="00DC64E8">
        <w:t xml:space="preserve"> to download</w:t>
      </w:r>
      <w:r w:rsidR="007378B5">
        <w:t xml:space="preserve"> </w:t>
      </w:r>
      <w:r w:rsidR="00E42FDB">
        <w:t xml:space="preserve">the </w:t>
      </w:r>
      <w:r w:rsidR="00E15BAB">
        <w:t xml:space="preserve">data </w:t>
      </w:r>
      <w:r w:rsidR="00F15612">
        <w:t xml:space="preserve">on the bar chart and information about the population groups and experiences </w:t>
      </w:r>
      <w:r w:rsidR="007378B5">
        <w:t>for your selections on the dashboard</w:t>
      </w:r>
      <w:r w:rsidR="00F15612">
        <w:t>.</w:t>
      </w:r>
      <w:r w:rsidR="003613FA">
        <w:t xml:space="preserve"> </w:t>
      </w:r>
    </w:p>
    <w:p w14:paraId="4D8D4DBE" w14:textId="77777777" w:rsidR="00827C47" w:rsidRDefault="00827C47" w:rsidP="5D33D0D1">
      <w:pPr>
        <w:rPr>
          <w:rFonts w:asciiTheme="majorHAnsi" w:eastAsia="Times New Roman" w:hAnsiTheme="majorHAnsi" w:cstheme="majorBidi"/>
          <w:color w:val="2F5496" w:themeColor="accent1" w:themeShade="BF"/>
          <w:sz w:val="32"/>
          <w:szCs w:val="32"/>
        </w:rPr>
      </w:pPr>
      <w:bookmarkStart w:id="26" w:name="_About_the_Data"/>
      <w:bookmarkStart w:id="27" w:name="_Toc143086307"/>
      <w:bookmarkEnd w:id="26"/>
      <w:r w:rsidRPr="5D33D0D1">
        <w:rPr>
          <w:rFonts w:eastAsia="Times New Roman"/>
        </w:rPr>
        <w:br w:type="page"/>
      </w:r>
    </w:p>
    <w:p w14:paraId="11601E3C" w14:textId="77777777" w:rsidR="00C06637" w:rsidRPr="00614CF2" w:rsidRDefault="00C06637" w:rsidP="00C06637">
      <w:pPr>
        <w:pStyle w:val="Heading1"/>
        <w:rPr>
          <w:rFonts w:ascii="Segoe UI" w:eastAsia="Times New Roman" w:hAnsi="Segoe UI" w:cs="Segoe UI"/>
          <w:sz w:val="18"/>
          <w:szCs w:val="18"/>
        </w:rPr>
      </w:pPr>
      <w:bookmarkStart w:id="28" w:name="_Toc151373117"/>
      <w:bookmarkStart w:id="29" w:name="_Toc155626824"/>
      <w:bookmarkEnd w:id="27"/>
      <w:r w:rsidRPr="00614CF2">
        <w:rPr>
          <w:rFonts w:eastAsia="Times New Roman"/>
        </w:rPr>
        <w:lastRenderedPageBreak/>
        <w:t>About the Data</w:t>
      </w:r>
      <w:bookmarkEnd w:id="28"/>
      <w:bookmarkEnd w:id="29"/>
      <w:r w:rsidRPr="00614CF2">
        <w:rPr>
          <w:rFonts w:eastAsia="Times New Roman"/>
        </w:rPr>
        <w:t>  </w:t>
      </w:r>
    </w:p>
    <w:p w14:paraId="2F74A729" w14:textId="77777777" w:rsidR="00C06637" w:rsidRPr="00614CF2" w:rsidRDefault="00C06637" w:rsidP="00C06637">
      <w:pPr>
        <w:rPr>
          <w:rFonts w:ascii="Segoe UI" w:hAnsi="Segoe UI" w:cs="Segoe UI"/>
          <w:sz w:val="18"/>
          <w:szCs w:val="18"/>
        </w:rPr>
      </w:pPr>
      <w:r w:rsidRPr="00614CF2">
        <w:t>The following section provides more detailed information about the data included in the dashboard. It includes technical notes about the sample and methodology used to collect the data from Massachusetts residents. This section also includes a data dictionary.  </w:t>
      </w:r>
    </w:p>
    <w:p w14:paraId="293D8EB0" w14:textId="77777777" w:rsidR="00C06637" w:rsidRPr="00614CF2" w:rsidRDefault="00C06637" w:rsidP="00C06637">
      <w:pPr>
        <w:pStyle w:val="Heading2"/>
        <w:rPr>
          <w:rFonts w:ascii="Segoe UI" w:eastAsia="Times New Roman" w:hAnsi="Segoe UI" w:cs="Segoe UI"/>
          <w:sz w:val="18"/>
          <w:szCs w:val="18"/>
        </w:rPr>
      </w:pPr>
      <w:bookmarkStart w:id="30" w:name="_Toc143086308"/>
      <w:bookmarkStart w:id="31" w:name="_Toc151373118"/>
      <w:bookmarkStart w:id="32" w:name="_Toc155626825"/>
      <w:r w:rsidRPr="00614CF2">
        <w:rPr>
          <w:rFonts w:eastAsia="Times New Roman"/>
        </w:rPr>
        <w:t>Technical Data Notes</w:t>
      </w:r>
      <w:bookmarkEnd w:id="30"/>
      <w:bookmarkEnd w:id="31"/>
      <w:bookmarkEnd w:id="32"/>
      <w:r w:rsidRPr="00614CF2">
        <w:rPr>
          <w:rFonts w:eastAsia="Times New Roman"/>
        </w:rPr>
        <w:t> </w:t>
      </w:r>
    </w:p>
    <w:p w14:paraId="3997B1A8" w14:textId="77777777" w:rsidR="00C06637" w:rsidRPr="00614CF2" w:rsidRDefault="00C06637" w:rsidP="00C06637">
      <w:pPr>
        <w:pStyle w:val="Heading3"/>
        <w:rPr>
          <w:rFonts w:ascii="Segoe UI" w:eastAsia="Times New Roman" w:hAnsi="Segoe UI" w:cs="Segoe UI"/>
          <w:sz w:val="18"/>
          <w:szCs w:val="18"/>
        </w:rPr>
      </w:pPr>
      <w:bookmarkStart w:id="33" w:name="_Toc143086309"/>
      <w:r w:rsidRPr="00614CF2">
        <w:rPr>
          <w:rFonts w:eastAsia="Times New Roman"/>
        </w:rPr>
        <w:t>MA Youth Survey Methodology</w:t>
      </w:r>
      <w:bookmarkEnd w:id="33"/>
      <w:r w:rsidRPr="00614CF2">
        <w:rPr>
          <w:rFonts w:eastAsia="Times New Roman"/>
        </w:rPr>
        <w:t> </w:t>
      </w:r>
    </w:p>
    <w:p w14:paraId="0B874AF5" w14:textId="77777777" w:rsidR="00C06637" w:rsidRPr="00614CF2" w:rsidRDefault="00C06637" w:rsidP="00C06637">
      <w:pPr>
        <w:rPr>
          <w:rFonts w:ascii="Segoe UI" w:hAnsi="Segoe UI" w:cs="Segoe UI"/>
          <w:sz w:val="18"/>
          <w:szCs w:val="18"/>
        </w:rPr>
      </w:pPr>
      <w:r w:rsidRPr="00614CF2">
        <w:t>In Massachusetts, the MA Department of Public Health Survey Program collaborates with the MA Department of Elementary and Secondary Education (DESE) to administer the MA Youth Health Survey (YHS) and MA Youth Risk Behavior Survey (YRBS). The YHS and YRBS are both conducted in randomly sampled high schools (9-12</w:t>
      </w:r>
      <w:r w:rsidRPr="00614CF2">
        <w:rPr>
          <w:sz w:val="17"/>
          <w:szCs w:val="17"/>
          <w:vertAlign w:val="superscript"/>
        </w:rPr>
        <w:t>th</w:t>
      </w:r>
      <w:r w:rsidRPr="00614CF2">
        <w:t xml:space="preserve"> grades; YHS-HS) every odd-numbered year. The YHS is also conducted in randomly sample</w:t>
      </w:r>
      <w:r>
        <w:t>d</w:t>
      </w:r>
      <w:r w:rsidRPr="00614CF2">
        <w:t xml:space="preserve"> middle schools (schools with at least one grade 6-8). </w:t>
      </w:r>
    </w:p>
    <w:p w14:paraId="60535312" w14:textId="77777777" w:rsidR="00C06637" w:rsidRPr="00614CF2" w:rsidRDefault="00C06637" w:rsidP="00C06637">
      <w:pPr>
        <w:rPr>
          <w:rFonts w:ascii="Segoe UI" w:hAnsi="Segoe UI" w:cs="Segoe UI"/>
          <w:sz w:val="18"/>
          <w:szCs w:val="18"/>
        </w:rPr>
      </w:pPr>
      <w:r w:rsidRPr="00614CF2">
        <w:t xml:space="preserve">The sampling methodology, how schools are randomly selected to be part of the survey, is determined by Centers for Disease Control (CDC) procedures. More information about the methodology can be found </w:t>
      </w:r>
      <w:hyperlink r:id="rId48" w:anchor="methodology-" w:tgtFrame="_blank" w:history="1">
        <w:r w:rsidRPr="00614CF2">
          <w:rPr>
            <w:color w:val="0000FF"/>
            <w:u w:val="single"/>
            <w:shd w:val="clear" w:color="auto" w:fill="E1E3E6"/>
          </w:rPr>
          <w:t>here</w:t>
        </w:r>
      </w:hyperlink>
      <w:r w:rsidRPr="00614CF2">
        <w:t>. Based on this sampling process, not every youth in the state completes the survey. Because not every youth completes the survey, the initial data cannot definitively determine the percentage of all youth with certain experiences across the state. Although youth were included in the sample based on random school and classroom selection, there are additional processes that make the data</w:t>
      </w:r>
      <w:r w:rsidRPr="00614CF2" w:rsidDel="006047A2">
        <w:t xml:space="preserve"> </w:t>
      </w:r>
      <w:r>
        <w:t xml:space="preserve">more </w:t>
      </w:r>
      <w:r w:rsidRPr="00614CF2">
        <w:t>represent</w:t>
      </w:r>
      <w:r>
        <w:t>ative of</w:t>
      </w:r>
      <w:r w:rsidRPr="00614CF2">
        <w:t xml:space="preserve"> all public high school or middle school students that could have been included in the survey</w:t>
      </w:r>
      <w:r>
        <w:t>.</w:t>
      </w:r>
    </w:p>
    <w:p w14:paraId="77A6D0F9" w14:textId="77777777" w:rsidR="00C06637" w:rsidRDefault="00C06637" w:rsidP="00C06637">
      <w:r w:rsidRPr="00614CF2">
        <w:t xml:space="preserve">A statistical technique called weighting is used to adjust the survey results to </w:t>
      </w:r>
      <w:r>
        <w:t>increase</w:t>
      </w:r>
      <w:r w:rsidRPr="00614CF2">
        <w:t xml:space="preserve"> </w:t>
      </w:r>
      <w:r>
        <w:t xml:space="preserve">how the results </w:t>
      </w:r>
      <w:r w:rsidRPr="00614CF2">
        <w:t xml:space="preserve">represent the whole </w:t>
      </w:r>
      <w:proofErr w:type="gramStart"/>
      <w:r>
        <w:t>public school</w:t>
      </w:r>
      <w:proofErr w:type="gramEnd"/>
      <w:r w:rsidRPr="00614CF2">
        <w:t xml:space="preserve"> population. Weighting accounts for the unequal probability of selection into the sample.  The base weight reflects the inverse probability of selection for each participating student. Adjustments are then applied to the base weight to adjust for school-level non-response, student-level non-response, and a post-stratification adjustment for grade, sex, and race/ethnicity. </w:t>
      </w:r>
    </w:p>
    <w:p w14:paraId="55ABCED3" w14:textId="77777777" w:rsidR="00C06637" w:rsidRDefault="00C06637" w:rsidP="00C06637">
      <w:pPr>
        <w:pStyle w:val="Heading3"/>
        <w:rPr>
          <w:rFonts w:eastAsia="Times New Roman"/>
        </w:rPr>
      </w:pPr>
      <w:r>
        <w:rPr>
          <w:rFonts w:eastAsia="Times New Roman"/>
        </w:rPr>
        <w:t xml:space="preserve">Limitations </w:t>
      </w:r>
    </w:p>
    <w:p w14:paraId="3B2A63EC" w14:textId="77777777" w:rsidR="00C06637" w:rsidRDefault="00C06637" w:rsidP="00C06637">
      <w:r>
        <w:t xml:space="preserve">There are limitations to consider about the survey methodology and process to collect the data. The following are important limitations to know for the YHS and YRBS surveys:  </w:t>
      </w:r>
    </w:p>
    <w:p w14:paraId="64482475" w14:textId="77777777" w:rsidR="00C06637" w:rsidRDefault="00C06637" w:rsidP="00C06637">
      <w:pPr>
        <w:pStyle w:val="ListParagraph"/>
        <w:numPr>
          <w:ilvl w:val="0"/>
          <w:numId w:val="22"/>
        </w:numPr>
      </w:pPr>
      <w:r>
        <w:t xml:space="preserve">Youth self-report to complete these surveys. There may be under- or over-reporting of behaviors based on social desirability bias (knowing what the more desirable behavior/response is when it is not true for the youth). There may also be recall bias if youth do not remember experiences accurately when completing the survey.  There also are times when people have their own ideas about what a term means that is not what researchers and people who provide services mean, which can lead a person answering a question to inaccurately answer “No” to a question for which the answer for them </w:t>
      </w:r>
      <w:proofErr w:type="gramStart"/>
      <w:r>
        <w:t>actually is</w:t>
      </w:r>
      <w:proofErr w:type="gramEnd"/>
      <w:r>
        <w:t xml:space="preserve"> “Yes.” We try to minimize this problem with the way that questions are asked, but we cannot eliminate it.</w:t>
      </w:r>
    </w:p>
    <w:p w14:paraId="3EAB8089" w14:textId="77777777" w:rsidR="00C06637" w:rsidRDefault="00C06637" w:rsidP="00C06637">
      <w:pPr>
        <w:pStyle w:val="ListParagraph"/>
        <w:numPr>
          <w:ilvl w:val="0"/>
          <w:numId w:val="22"/>
        </w:numPr>
      </w:pPr>
      <w:r>
        <w:t>Only youth who attend school on the day of survey collection are included in the report. There is no effort to survey students who were absent.</w:t>
      </w:r>
    </w:p>
    <w:p w14:paraId="546ECE0D" w14:textId="77777777" w:rsidR="00C06637" w:rsidRDefault="00C06637" w:rsidP="00C06637">
      <w:pPr>
        <w:pStyle w:val="ListParagraph"/>
        <w:numPr>
          <w:ilvl w:val="1"/>
          <w:numId w:val="22"/>
        </w:numPr>
      </w:pPr>
      <w:r>
        <w:lastRenderedPageBreak/>
        <w:t xml:space="preserve">Students who are more often absent from school, such as those experiencing housing instability or having health needs that require medical care, are more likely to be missing from the sample because they were absent on the day of data collection. </w:t>
      </w:r>
    </w:p>
    <w:p w14:paraId="39E3B119" w14:textId="77777777" w:rsidR="00C06637" w:rsidRDefault="00C06637" w:rsidP="00C06637">
      <w:pPr>
        <w:pStyle w:val="ListParagraph"/>
        <w:numPr>
          <w:ilvl w:val="0"/>
          <w:numId w:val="22"/>
        </w:numPr>
      </w:pPr>
      <w:r>
        <w:t>Only youth who attend public schools are included in the survey collection. This data is not representative of all youth in the middle school or high school age groups across Massachusetts.</w:t>
      </w:r>
    </w:p>
    <w:p w14:paraId="6F0DE6E4" w14:textId="77777777" w:rsidR="00C06637" w:rsidRDefault="00C06637" w:rsidP="00C06637">
      <w:pPr>
        <w:pStyle w:val="ListParagraph"/>
        <w:numPr>
          <w:ilvl w:val="1"/>
          <w:numId w:val="22"/>
        </w:numPr>
      </w:pPr>
      <w:r>
        <w:t xml:space="preserve">Youth who have dropped out, are enrolled in alternative school (such as in a Department of Youth Services, Department of Mental Health, or other setting), are home-schooled, or enrolled in private or religious school, are not surveyed. </w:t>
      </w:r>
    </w:p>
    <w:p w14:paraId="035FBEBB" w14:textId="77777777" w:rsidR="00C06637" w:rsidRDefault="00C06637" w:rsidP="00C06637">
      <w:pPr>
        <w:pStyle w:val="ListParagraph"/>
        <w:numPr>
          <w:ilvl w:val="0"/>
          <w:numId w:val="21"/>
        </w:numPr>
      </w:pPr>
      <w:r>
        <w:t>The surveys are currently only available in Massachusetts in English, which may limit comprehension and ability for English Language Learners, or youth more comfortable reading and comprehending in a language besides English, to complete the survey.</w:t>
      </w:r>
    </w:p>
    <w:p w14:paraId="0B24AFD4" w14:textId="77777777" w:rsidR="00C06637" w:rsidRDefault="00C06637" w:rsidP="00C06637">
      <w:pPr>
        <w:pStyle w:val="ListParagraph"/>
        <w:numPr>
          <w:ilvl w:val="0"/>
          <w:numId w:val="21"/>
        </w:numPr>
      </w:pPr>
      <w:r>
        <w:t xml:space="preserve">Historically, the surveys were conducted on paper. In 2019, the high schools YHS and YRBS moved to web-based, with a paper option. In 2021, the survey moved to web-based for middle schools, with a paper survey option. </w:t>
      </w:r>
    </w:p>
    <w:p w14:paraId="197A0BB8" w14:textId="77777777" w:rsidR="00C06637" w:rsidRPr="00C76843" w:rsidRDefault="00C06637" w:rsidP="00C06637">
      <w:pPr>
        <w:pStyle w:val="ListParagraph"/>
        <w:numPr>
          <w:ilvl w:val="0"/>
          <w:numId w:val="21"/>
        </w:numPr>
      </w:pPr>
      <w:r>
        <w:t>Youth are expected to complete the survey on their own. The experiences of youth who would need support from another person to complete the survey are not included.</w:t>
      </w:r>
    </w:p>
    <w:p w14:paraId="7A20520E" w14:textId="77777777" w:rsidR="00C06637" w:rsidRDefault="00C06637" w:rsidP="00C06637">
      <w:pPr>
        <w:pStyle w:val="ListParagraph"/>
        <w:numPr>
          <w:ilvl w:val="0"/>
          <w:numId w:val="21"/>
        </w:numPr>
      </w:pPr>
      <w:r>
        <w:t xml:space="preserve">Boston conducts a separate YRBS survey from the MA state YRBS. Students in Boston classes selected into the state sample are given the Boston YRBS and their responses are also included in the state data. While most questions overlap, there are a few differences between the </w:t>
      </w:r>
      <w:proofErr w:type="gramStart"/>
      <w:r>
        <w:t>surveys</w:t>
      </w:r>
      <w:proofErr w:type="gramEnd"/>
      <w:r>
        <w:t xml:space="preserve"> including those that are not asked on Boston YRBS. This may affect the generalizability of results from these questions if students in Boston have different experiences with these indicators than students in the rest of the state. </w:t>
      </w:r>
    </w:p>
    <w:p w14:paraId="44F8D67A" w14:textId="77777777" w:rsidR="00C06637" w:rsidRPr="00614CF2" w:rsidRDefault="00C06637" w:rsidP="00C06637">
      <w:pPr>
        <w:pStyle w:val="Heading3"/>
        <w:rPr>
          <w:rFonts w:ascii="Segoe UI" w:eastAsia="Times New Roman" w:hAnsi="Segoe UI" w:cs="Segoe UI"/>
          <w:sz w:val="18"/>
          <w:szCs w:val="18"/>
        </w:rPr>
      </w:pPr>
      <w:bookmarkStart w:id="34" w:name="_Toc143086310"/>
      <w:r w:rsidRPr="00614CF2">
        <w:rPr>
          <w:rFonts w:eastAsia="Times New Roman"/>
        </w:rPr>
        <w:t>Suppression</w:t>
      </w:r>
      <w:bookmarkEnd w:id="34"/>
      <w:r w:rsidRPr="00614CF2">
        <w:rPr>
          <w:rFonts w:eastAsia="Times New Roman"/>
        </w:rPr>
        <w:t> </w:t>
      </w:r>
    </w:p>
    <w:p w14:paraId="1948D5AC" w14:textId="77777777" w:rsidR="00C06637" w:rsidRPr="00614CF2" w:rsidRDefault="00C06637" w:rsidP="00C06637">
      <w:pPr>
        <w:rPr>
          <w:rFonts w:ascii="Segoe UI" w:hAnsi="Segoe UI" w:cs="Segoe UI"/>
          <w:sz w:val="18"/>
          <w:szCs w:val="18"/>
        </w:rPr>
      </w:pPr>
      <w:r w:rsidRPr="00614CF2">
        <w:t xml:space="preserve">Suppression is a technique in presenting data to withhold or remove information </w:t>
      </w:r>
      <w:proofErr w:type="gramStart"/>
      <w:r w:rsidRPr="00614CF2">
        <w:t>in order to</w:t>
      </w:r>
      <w:proofErr w:type="gramEnd"/>
      <w:r w:rsidRPr="00614CF2">
        <w:t xml:space="preserve"> protect identities, privacy, personal information, or because the data is not sufficient to develop a reliable estimate. Specific surveys, datasets, or entities have suppression rules to determine when data needs to be withheld. For the youth surveys mentioned above, suppression rules are applied to ensure reliability of the estimate. If the standard error is greater than 30% and/or there are less than 100 survey respondents in the specific subpopulation of interest that answered the question, the information will be suppressed. </w:t>
      </w:r>
    </w:p>
    <w:p w14:paraId="1A39E8AD" w14:textId="77777777" w:rsidR="00C06637" w:rsidRPr="00614CF2" w:rsidRDefault="00C06637" w:rsidP="00C06637">
      <w:pPr>
        <w:spacing w:after="0" w:line="240" w:lineRule="auto"/>
        <w:jc w:val="center"/>
        <w:textAlignment w:val="baseline"/>
        <w:rPr>
          <w:rFonts w:ascii="Segoe UI" w:eastAsia="Times New Roman" w:hAnsi="Segoe UI" w:cs="Segoe UI"/>
          <w:sz w:val="18"/>
          <w:szCs w:val="18"/>
        </w:rPr>
      </w:pPr>
      <w:r>
        <w:rPr>
          <w:noProof/>
        </w:rPr>
        <w:lastRenderedPageBreak/>
        <w:drawing>
          <wp:inline distT="0" distB="0" distL="0" distR="0" wp14:anchorId="50EC0930" wp14:editId="0A29609D">
            <wp:extent cx="5943600" cy="3105785"/>
            <wp:effectExtent l="0" t="0" r="0" b="0"/>
            <wp:docPr id="9" name="Picture 9" descr="An image of the ACEs and PCEs dashboard showing an example where the row for a particular experience was suppressed due to having less than 100 respon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image of the ACEs and PCEs dashboard showing an example where the row for a particular experience was suppressed due to having less than 100 respondents. "/>
                    <pic:cNvPicPr/>
                  </pic:nvPicPr>
                  <pic:blipFill>
                    <a:blip r:embed="rId49">
                      <a:extLst>
                        <a:ext uri="{28A0092B-C50C-407E-A947-70E740481C1C}">
                          <a14:useLocalDpi xmlns:a14="http://schemas.microsoft.com/office/drawing/2010/main" val="0"/>
                        </a:ext>
                      </a:extLst>
                    </a:blip>
                    <a:stretch>
                      <a:fillRect/>
                    </a:stretch>
                  </pic:blipFill>
                  <pic:spPr>
                    <a:xfrm>
                      <a:off x="0" y="0"/>
                      <a:ext cx="5943600" cy="3105785"/>
                    </a:xfrm>
                    <a:prstGeom prst="rect">
                      <a:avLst/>
                    </a:prstGeom>
                  </pic:spPr>
                </pic:pic>
              </a:graphicData>
            </a:graphic>
          </wp:inline>
        </w:drawing>
      </w:r>
      <w:r w:rsidRPr="00614CF2">
        <w:rPr>
          <w:rFonts w:ascii="Calibri" w:eastAsia="Times New Roman" w:hAnsi="Calibri" w:cs="Calibri"/>
        </w:rPr>
        <w:t> </w:t>
      </w:r>
    </w:p>
    <w:p w14:paraId="3A9FE960" w14:textId="77777777" w:rsidR="00C06637" w:rsidRPr="00614CF2" w:rsidRDefault="00C06637" w:rsidP="00C06637">
      <w:pPr>
        <w:rPr>
          <w:rFonts w:ascii="Segoe UI" w:hAnsi="Segoe UI" w:cs="Segoe UI"/>
          <w:sz w:val="18"/>
          <w:szCs w:val="18"/>
        </w:rPr>
      </w:pPr>
      <w:r w:rsidRPr="00614CF2">
        <w:t xml:space="preserve">In some instances, complimentary suppression is necessary. This is an additional data suppression step when it is possible for users to subtract to figure out the suppressed counts. For the youth surveys, this is not required because the dataset population size does not include those that did not respond to the survey question(s). Additionally, the percent of survey responses is weighted, so for any experience on the dashboard, users cannot determine the number of respondents who indicated they had this </w:t>
      </w:r>
      <w:proofErr w:type="gramStart"/>
      <w:r w:rsidRPr="00614CF2">
        <w:t>particular experience</w:t>
      </w:r>
      <w:proofErr w:type="gramEnd"/>
      <w:r w:rsidRPr="00614CF2">
        <w:t xml:space="preserve"> from the weighted percent (i.e., the weighted percent is not equal to the percent of respondents who reported the experience). Therefore, a user cannot identify an actual individual or small group using a population’s weighted percent of total responses, sample size, and/or comparing against the overall population weight percent of total responses and sample size.  </w:t>
      </w:r>
    </w:p>
    <w:p w14:paraId="23C8C804" w14:textId="77777777" w:rsidR="00C06637" w:rsidRPr="00614CF2" w:rsidRDefault="00C06637" w:rsidP="00C06637">
      <w:pPr>
        <w:pStyle w:val="Heading3"/>
        <w:rPr>
          <w:rFonts w:ascii="Segoe UI" w:eastAsia="Times New Roman" w:hAnsi="Segoe UI" w:cs="Segoe UI"/>
          <w:sz w:val="18"/>
          <w:szCs w:val="18"/>
        </w:rPr>
      </w:pPr>
      <w:bookmarkStart w:id="35" w:name="_Confidence_Intervals"/>
      <w:bookmarkStart w:id="36" w:name="_Toc143086311"/>
      <w:bookmarkEnd w:id="35"/>
      <w:r w:rsidRPr="00614CF2">
        <w:rPr>
          <w:rFonts w:eastAsia="Times New Roman"/>
        </w:rPr>
        <w:t>Confidence Intervals</w:t>
      </w:r>
      <w:bookmarkEnd w:id="36"/>
      <w:r w:rsidRPr="00614CF2">
        <w:rPr>
          <w:rFonts w:eastAsia="Times New Roman"/>
        </w:rPr>
        <w:t> </w:t>
      </w:r>
    </w:p>
    <w:p w14:paraId="68AE0782" w14:textId="77777777" w:rsidR="00C06637" w:rsidRPr="00614CF2" w:rsidRDefault="00C06637" w:rsidP="00C06637">
      <w:pPr>
        <w:rPr>
          <w:rFonts w:ascii="Segoe UI" w:hAnsi="Segoe UI" w:cs="Segoe UI"/>
          <w:sz w:val="18"/>
          <w:szCs w:val="18"/>
        </w:rPr>
      </w:pPr>
      <w:r w:rsidRPr="00614CF2">
        <w:t xml:space="preserve">Including a confidence interval (CI) when calculating an estimate provides a range of values you would expect the estimate to fall between if you had many samples of the same size from the same overall group of people. For these CIs, a 95% confidence was used to determine this range. If we re-sampled MA public schools and classrooms using the YRBS or YHS surveys </w:t>
      </w:r>
      <w:r>
        <w:t>many</w:t>
      </w:r>
      <w:r w:rsidRPr="00614CF2">
        <w:t xml:space="preserve"> times, 95% of the time the estimates we calculated for each experience and within each population group would fall in the range provided.  </w:t>
      </w:r>
    </w:p>
    <w:p w14:paraId="7763000F" w14:textId="77777777" w:rsidR="00C06637" w:rsidRPr="00614CF2" w:rsidRDefault="00C06637" w:rsidP="00C06637">
      <w:pPr>
        <w:rPr>
          <w:rFonts w:ascii="Segoe UI" w:hAnsi="Segoe UI" w:cs="Segoe UI"/>
          <w:sz w:val="18"/>
          <w:szCs w:val="18"/>
        </w:rPr>
      </w:pPr>
      <w:r w:rsidRPr="00614CF2">
        <w:t xml:space="preserve">The CI for an estimate can tell the user how stable and reliable an estimate is. If the CI is very wide, it is less stable and less reliable. A narrower range would describe a more stable and reliable estimate compared to a wider range. The width of the CI can be impacted </w:t>
      </w:r>
      <w:r>
        <w:t>by</w:t>
      </w:r>
      <w:r w:rsidRPr="00614CF2">
        <w:t xml:space="preserve"> the size of the sample (larger samples produce narrower CIs), the confidence level selected (here all CIs are 95%), and the variability in the sample (when the data points differ a lot from each other or the average of the data points, a wider range is produced).  </w:t>
      </w:r>
    </w:p>
    <w:p w14:paraId="2C0626A1" w14:textId="77777777" w:rsidR="00C06637" w:rsidRPr="00614CF2" w:rsidRDefault="00C06637" w:rsidP="00C06637">
      <w:pPr>
        <w:spacing w:after="0" w:line="240" w:lineRule="auto"/>
        <w:textAlignment w:val="baseline"/>
        <w:rPr>
          <w:rFonts w:ascii="Segoe UI" w:eastAsia="Times New Roman" w:hAnsi="Segoe UI" w:cs="Segoe UI"/>
          <w:sz w:val="18"/>
          <w:szCs w:val="18"/>
        </w:rPr>
      </w:pPr>
      <w:r>
        <w:rPr>
          <w:noProof/>
        </w:rPr>
        <w:lastRenderedPageBreak/>
        <w:drawing>
          <wp:inline distT="0" distB="0" distL="0" distR="0" wp14:anchorId="706C2945" wp14:editId="00782BCA">
            <wp:extent cx="5943600" cy="3190240"/>
            <wp:effectExtent l="0" t="0" r="0" b="0"/>
            <wp:docPr id="61" name="Picture 61" descr="An image of the ACEs and PCEs dashboard showing confidence intervals on each bar that represents the distribution of the experience by race/ethni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n image of the ACEs and PCEs dashboard showing confidence intervals on each bar that represents the distribution of the experience by race/ethnicity. "/>
                    <pic:cNvPicPr/>
                  </pic:nvPicPr>
                  <pic:blipFill>
                    <a:blip r:embed="rId50">
                      <a:extLst>
                        <a:ext uri="{28A0092B-C50C-407E-A947-70E740481C1C}">
                          <a14:useLocalDpi xmlns:a14="http://schemas.microsoft.com/office/drawing/2010/main" val="0"/>
                        </a:ext>
                      </a:extLst>
                    </a:blip>
                    <a:stretch>
                      <a:fillRect/>
                    </a:stretch>
                  </pic:blipFill>
                  <pic:spPr>
                    <a:xfrm>
                      <a:off x="0" y="0"/>
                      <a:ext cx="5943600" cy="3190240"/>
                    </a:xfrm>
                    <a:prstGeom prst="rect">
                      <a:avLst/>
                    </a:prstGeom>
                  </pic:spPr>
                </pic:pic>
              </a:graphicData>
            </a:graphic>
          </wp:inline>
        </w:drawing>
      </w:r>
    </w:p>
    <w:p w14:paraId="0304A69D" w14:textId="77777777" w:rsidR="00C06637" w:rsidRPr="00614CF2" w:rsidRDefault="00C06637" w:rsidP="00C06637">
      <w:pPr>
        <w:spacing w:after="0" w:line="240" w:lineRule="auto"/>
        <w:textAlignment w:val="baseline"/>
        <w:rPr>
          <w:rFonts w:ascii="Segoe UI" w:eastAsia="Times New Roman" w:hAnsi="Segoe UI" w:cs="Segoe UI"/>
          <w:color w:val="5A5A5A"/>
          <w:sz w:val="18"/>
          <w:szCs w:val="18"/>
        </w:rPr>
      </w:pPr>
      <w:r w:rsidRPr="00614CF2">
        <w:rPr>
          <w:rFonts w:ascii="Calibri" w:eastAsia="Times New Roman" w:hAnsi="Calibri" w:cs="Calibri"/>
          <w:color w:val="5A5A5A"/>
        </w:rPr>
        <w:t> </w:t>
      </w:r>
    </w:p>
    <w:p w14:paraId="64788A62" w14:textId="77777777" w:rsidR="00C06637" w:rsidRPr="00614CF2" w:rsidRDefault="00C06637" w:rsidP="00C06637">
      <w:pPr>
        <w:rPr>
          <w:rFonts w:ascii="Segoe UI" w:hAnsi="Segoe UI" w:cs="Segoe UI"/>
          <w:sz w:val="18"/>
          <w:szCs w:val="18"/>
        </w:rPr>
      </w:pPr>
      <w:r w:rsidRPr="00614CF2">
        <w:t>In the above example (example 1), the overall bar for “Ever felt they were treated badly or unfairly because of their sexual orientation” sample size is 3,140 and the CI ranges from 16.8% to 20.0% (specific numbers are available in the tooltip). The overall CI is narrow compared to the “Other/Multiracial, non-Hispanic/non-Latinx” bar (light blue) with a sample size of 150 and a range of 13.8% to 32.8%.  </w:t>
      </w:r>
    </w:p>
    <w:p w14:paraId="7F61B807" w14:textId="77777777" w:rsidR="00C06637" w:rsidRPr="00DD3308" w:rsidRDefault="00C06637" w:rsidP="00C06637">
      <w:pPr>
        <w:rPr>
          <w:rFonts w:ascii="Segoe UI" w:hAnsi="Segoe UI" w:cs="Segoe UI"/>
          <w:sz w:val="18"/>
          <w:szCs w:val="18"/>
        </w:rPr>
      </w:pPr>
      <w:r w:rsidRPr="00614CF2">
        <w:t xml:space="preserve">A user can also compare the overlap of related CIs (CIs of related estimates, such as between two or more population estimates of the same experience) to understand the difference between two or more groups. Using hypothesis testing in a statistical program is the ideal way to compare statistical differences between two or more groups, but the visual provided in the dashboard can assist in visually identifying the </w:t>
      </w:r>
      <w:r w:rsidRPr="00614CF2">
        <w:rPr>
          <w:u w:val="single"/>
        </w:rPr>
        <w:t>potential</w:t>
      </w:r>
      <w:r w:rsidRPr="00614CF2">
        <w:t xml:space="preserve"> for differences between the reports of some groups to be of a size that is statistically significant, given the sample size</w:t>
      </w:r>
      <w:r>
        <w:t xml:space="preserve"> and</w:t>
      </w:r>
      <w:r w:rsidRPr="00614CF2">
        <w:t xml:space="preserve"> amount of variability in the groups. In the first example above, the lack of overlap between the CIs for White youth and the CIs for youth of other race-ethnicities, and the degree of those differences, suggests that a stronger statistical test is likely to give us confidence that these differences are sufficiently great, given the sample size and variability in the sample responses, to conclude that this type of experience is more common among these groups than among White youth in the MA youth population. In the second example, the overlapping CIs suggest that the differences in the sample estimates will not prove to be great enough (given the sample size and variability in responses) to conclude with confidence that there is a difference based on race-ethnicity in this experience in the MA youth population. However, in both cases, we would want to do additional statistical testing before reaching a conclusion. </w:t>
      </w:r>
    </w:p>
    <w:p w14:paraId="62DDE0FF" w14:textId="77777777" w:rsidR="00C06637" w:rsidRPr="00614CF2" w:rsidRDefault="00C06637" w:rsidP="00C06637">
      <w:pPr>
        <w:rPr>
          <w:rFonts w:ascii="Segoe UI" w:eastAsia="Times New Roman" w:hAnsi="Segoe UI" w:cs="Segoe UI"/>
          <w:sz w:val="18"/>
          <w:szCs w:val="18"/>
        </w:rPr>
      </w:pPr>
      <w:r>
        <w:rPr>
          <w:rFonts w:ascii="Calibri" w:eastAsia="Times New Roman" w:hAnsi="Calibri" w:cs="Calibri"/>
        </w:rPr>
        <w:t xml:space="preserve">To be more specific, </w:t>
      </w:r>
      <w:r w:rsidRPr="57051537">
        <w:rPr>
          <w:rFonts w:ascii="Calibri" w:eastAsia="Times New Roman" w:hAnsi="Calibri" w:cs="Calibri"/>
        </w:rPr>
        <w:t>in</w:t>
      </w:r>
      <w:r w:rsidRPr="00614CF2">
        <w:rPr>
          <w:rFonts w:ascii="Calibri" w:eastAsia="Times New Roman" w:hAnsi="Calibri" w:cs="Calibri"/>
        </w:rPr>
        <w:t xml:space="preserve"> the above example (example 2), the population bar “White, non-Hispanic/non-Latinx” for “Ever felt they were treated badly or unfairly because of their race or ethnicity” has a CI range from 10.2% to 14.3%. This range does not overlap with the “Other/Multiracial, non-Hispanic/non-Latinx” bar for th</w:t>
      </w:r>
      <w:r>
        <w:rPr>
          <w:rFonts w:ascii="Calibri" w:eastAsia="Times New Roman" w:hAnsi="Calibri" w:cs="Calibri"/>
        </w:rPr>
        <w:t>is</w:t>
      </w:r>
      <w:r w:rsidRPr="00614CF2">
        <w:rPr>
          <w:rFonts w:ascii="Calibri" w:eastAsia="Times New Roman" w:hAnsi="Calibri" w:cs="Calibri"/>
        </w:rPr>
        <w:t xml:space="preserve"> experience which has a range of 55.4% to 72.4%.  Therefore, it is likely that there is a statistically significant difference between these two groups related to this experience.   </w:t>
      </w:r>
    </w:p>
    <w:p w14:paraId="750D8B99" w14:textId="77777777" w:rsidR="00C06637" w:rsidRPr="00614CF2" w:rsidRDefault="00C06637" w:rsidP="00C06637">
      <w:pPr>
        <w:pStyle w:val="Heading2"/>
        <w:rPr>
          <w:rFonts w:ascii="Segoe UI" w:eastAsia="Times New Roman" w:hAnsi="Segoe UI" w:cs="Segoe UI"/>
          <w:sz w:val="18"/>
          <w:szCs w:val="18"/>
        </w:rPr>
      </w:pPr>
      <w:bookmarkStart w:id="37" w:name="_Toc143086312"/>
      <w:bookmarkStart w:id="38" w:name="_Toc151373119"/>
      <w:bookmarkStart w:id="39" w:name="_Toc155626826"/>
      <w:r w:rsidRPr="00614CF2">
        <w:rPr>
          <w:rFonts w:eastAsia="Times New Roman"/>
        </w:rPr>
        <w:lastRenderedPageBreak/>
        <w:t>Data Dictionary</w:t>
      </w:r>
      <w:bookmarkEnd w:id="37"/>
      <w:bookmarkEnd w:id="38"/>
      <w:bookmarkEnd w:id="39"/>
      <w:r w:rsidRPr="00614CF2">
        <w:rPr>
          <w:rFonts w:eastAsia="Times New Roman"/>
        </w:rPr>
        <w:t xml:space="preserve">  </w:t>
      </w:r>
    </w:p>
    <w:p w14:paraId="23B15B2E" w14:textId="77777777" w:rsidR="00C06637" w:rsidRPr="00614CF2" w:rsidRDefault="00C06637" w:rsidP="00C06637">
      <w:pPr>
        <w:rPr>
          <w:rFonts w:ascii="Segoe UI" w:hAnsi="Segoe UI" w:cs="Segoe UI"/>
          <w:sz w:val="18"/>
          <w:szCs w:val="18"/>
        </w:rPr>
      </w:pPr>
      <w:r w:rsidRPr="00614CF2">
        <w:t>The following table provides additional information about common terms used in the dashboard, including the dashboard data element name, definition, and example values.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5"/>
        <w:gridCol w:w="5070"/>
        <w:gridCol w:w="2700"/>
        <w:gridCol w:w="15"/>
      </w:tblGrid>
      <w:tr w:rsidR="00C06637" w:rsidRPr="00614CF2" w14:paraId="66ED4A14" w14:textId="77777777" w:rsidTr="00481C21">
        <w:trPr>
          <w:trHeight w:val="555"/>
          <w:tblHeader/>
        </w:trPr>
        <w:tc>
          <w:tcPr>
            <w:tcW w:w="1545" w:type="dxa"/>
            <w:tcBorders>
              <w:top w:val="single" w:sz="12" w:space="0" w:color="auto"/>
              <w:left w:val="single" w:sz="12" w:space="0" w:color="auto"/>
              <w:bottom w:val="single" w:sz="12" w:space="0" w:color="auto"/>
              <w:right w:val="single" w:sz="12" w:space="0" w:color="auto"/>
            </w:tcBorders>
            <w:shd w:val="clear" w:color="auto" w:fill="ED7D31" w:themeFill="accent2"/>
            <w:hideMark/>
          </w:tcPr>
          <w:p w14:paraId="6603AB15"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b/>
                <w:bCs/>
              </w:rPr>
              <w:t>Dashboard Data Element</w:t>
            </w:r>
            <w:r w:rsidRPr="00614CF2">
              <w:rPr>
                <w:rFonts w:ascii="Calibri" w:eastAsia="Times New Roman" w:hAnsi="Calibri" w:cs="Calibri"/>
              </w:rPr>
              <w:t> </w:t>
            </w:r>
          </w:p>
        </w:tc>
        <w:tc>
          <w:tcPr>
            <w:tcW w:w="5070" w:type="dxa"/>
            <w:tcBorders>
              <w:top w:val="single" w:sz="12" w:space="0" w:color="auto"/>
              <w:left w:val="single" w:sz="12" w:space="0" w:color="auto"/>
              <w:bottom w:val="single" w:sz="12" w:space="0" w:color="auto"/>
              <w:right w:val="single" w:sz="12" w:space="0" w:color="auto"/>
            </w:tcBorders>
            <w:shd w:val="clear" w:color="auto" w:fill="ED7D31" w:themeFill="accent2"/>
            <w:hideMark/>
          </w:tcPr>
          <w:p w14:paraId="35C72763"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b/>
                <w:bCs/>
              </w:rPr>
              <w:t>Definition</w:t>
            </w:r>
            <w:r w:rsidRPr="00614CF2">
              <w:rPr>
                <w:rFonts w:ascii="Calibri" w:eastAsia="Times New Roman" w:hAnsi="Calibri" w:cs="Calibri"/>
              </w:rPr>
              <w:t> </w:t>
            </w:r>
          </w:p>
        </w:tc>
        <w:tc>
          <w:tcPr>
            <w:tcW w:w="2700" w:type="dxa"/>
            <w:gridSpan w:val="2"/>
            <w:tcBorders>
              <w:top w:val="single" w:sz="12" w:space="0" w:color="auto"/>
              <w:left w:val="single" w:sz="12" w:space="0" w:color="auto"/>
              <w:bottom w:val="single" w:sz="12" w:space="0" w:color="auto"/>
              <w:right w:val="single" w:sz="12" w:space="0" w:color="auto"/>
            </w:tcBorders>
            <w:shd w:val="clear" w:color="auto" w:fill="ED7D31" w:themeFill="accent2"/>
            <w:hideMark/>
          </w:tcPr>
          <w:p w14:paraId="343EC3E0"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b/>
                <w:bCs/>
              </w:rPr>
              <w:t>Example Values</w:t>
            </w:r>
            <w:r w:rsidRPr="00614CF2">
              <w:rPr>
                <w:rFonts w:ascii="Calibri" w:eastAsia="Times New Roman" w:hAnsi="Calibri" w:cs="Calibri"/>
              </w:rPr>
              <w:t> </w:t>
            </w:r>
          </w:p>
        </w:tc>
      </w:tr>
      <w:tr w:rsidR="00C06637" w:rsidRPr="00614CF2" w14:paraId="34E0FFD6" w14:textId="77777777" w:rsidTr="00481C21">
        <w:trPr>
          <w:gridAfter w:val="1"/>
          <w:wAfter w:w="15" w:type="dxa"/>
          <w:trHeight w:val="255"/>
        </w:trPr>
        <w:tc>
          <w:tcPr>
            <w:tcW w:w="1545" w:type="dxa"/>
            <w:tcBorders>
              <w:top w:val="single" w:sz="12" w:space="0" w:color="auto"/>
              <w:left w:val="single" w:sz="12" w:space="0" w:color="auto"/>
              <w:bottom w:val="single" w:sz="12" w:space="0" w:color="auto"/>
              <w:right w:val="single" w:sz="12" w:space="0" w:color="auto"/>
            </w:tcBorders>
            <w:shd w:val="clear" w:color="auto" w:fill="auto"/>
            <w:hideMark/>
          </w:tcPr>
          <w:p w14:paraId="383FDC13"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Survey </w:t>
            </w:r>
          </w:p>
        </w:tc>
        <w:tc>
          <w:tcPr>
            <w:tcW w:w="5070" w:type="dxa"/>
            <w:tcBorders>
              <w:top w:val="single" w:sz="12" w:space="0" w:color="auto"/>
              <w:left w:val="single" w:sz="12" w:space="0" w:color="auto"/>
              <w:bottom w:val="single" w:sz="12" w:space="0" w:color="auto"/>
              <w:right w:val="single" w:sz="12" w:space="0" w:color="auto"/>
            </w:tcBorders>
            <w:shd w:val="clear" w:color="auto" w:fill="auto"/>
            <w:hideMark/>
          </w:tcPr>
          <w:p w14:paraId="04EA9395"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Survey administered </w:t>
            </w:r>
          </w:p>
        </w:tc>
        <w:tc>
          <w:tcPr>
            <w:tcW w:w="2700" w:type="dxa"/>
            <w:tcBorders>
              <w:top w:val="single" w:sz="12" w:space="0" w:color="auto"/>
              <w:left w:val="single" w:sz="12" w:space="0" w:color="auto"/>
              <w:bottom w:val="single" w:sz="12" w:space="0" w:color="auto"/>
              <w:right w:val="single" w:sz="12" w:space="0" w:color="auto"/>
            </w:tcBorders>
            <w:shd w:val="clear" w:color="auto" w:fill="auto"/>
            <w:hideMark/>
          </w:tcPr>
          <w:p w14:paraId="362C63F7"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YHS - High School </w:t>
            </w:r>
          </w:p>
          <w:p w14:paraId="6003D458"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YHS - Middle School </w:t>
            </w:r>
          </w:p>
          <w:p w14:paraId="0DF6171A"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YRBS - High School </w:t>
            </w:r>
          </w:p>
        </w:tc>
      </w:tr>
      <w:tr w:rsidR="00C06637" w:rsidRPr="00614CF2" w14:paraId="7F852A09" w14:textId="77777777" w:rsidTr="00481C21">
        <w:trPr>
          <w:gridAfter w:val="1"/>
          <w:wAfter w:w="15" w:type="dxa"/>
          <w:trHeight w:val="240"/>
        </w:trPr>
        <w:tc>
          <w:tcPr>
            <w:tcW w:w="1545" w:type="dxa"/>
            <w:tcBorders>
              <w:top w:val="single" w:sz="12" w:space="0" w:color="auto"/>
              <w:left w:val="single" w:sz="12" w:space="0" w:color="auto"/>
              <w:bottom w:val="single" w:sz="12" w:space="0" w:color="auto"/>
              <w:right w:val="single" w:sz="12" w:space="0" w:color="auto"/>
            </w:tcBorders>
            <w:shd w:val="clear" w:color="auto" w:fill="auto"/>
            <w:hideMark/>
          </w:tcPr>
          <w:p w14:paraId="36C381D8"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Survey Year </w:t>
            </w:r>
          </w:p>
        </w:tc>
        <w:tc>
          <w:tcPr>
            <w:tcW w:w="5070" w:type="dxa"/>
            <w:tcBorders>
              <w:top w:val="single" w:sz="12" w:space="0" w:color="auto"/>
              <w:left w:val="single" w:sz="12" w:space="0" w:color="auto"/>
              <w:bottom w:val="single" w:sz="12" w:space="0" w:color="auto"/>
              <w:right w:val="single" w:sz="12" w:space="0" w:color="auto"/>
            </w:tcBorders>
            <w:shd w:val="clear" w:color="auto" w:fill="auto"/>
            <w:hideMark/>
          </w:tcPr>
          <w:p w14:paraId="055911CA"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Calendar year survey was administered </w:t>
            </w:r>
          </w:p>
        </w:tc>
        <w:tc>
          <w:tcPr>
            <w:tcW w:w="2700" w:type="dxa"/>
            <w:tcBorders>
              <w:top w:val="single" w:sz="12" w:space="0" w:color="auto"/>
              <w:left w:val="single" w:sz="12" w:space="0" w:color="auto"/>
              <w:bottom w:val="single" w:sz="12" w:space="0" w:color="auto"/>
              <w:right w:val="single" w:sz="12" w:space="0" w:color="auto"/>
            </w:tcBorders>
            <w:shd w:val="clear" w:color="auto" w:fill="auto"/>
            <w:hideMark/>
          </w:tcPr>
          <w:p w14:paraId="450C2F73"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2021 </w:t>
            </w:r>
          </w:p>
        </w:tc>
      </w:tr>
      <w:tr w:rsidR="00C06637" w:rsidRPr="00614CF2" w14:paraId="4D3EA693" w14:textId="77777777" w:rsidTr="00481C21">
        <w:trPr>
          <w:gridAfter w:val="1"/>
          <w:wAfter w:w="15" w:type="dxa"/>
          <w:trHeight w:val="285"/>
        </w:trPr>
        <w:tc>
          <w:tcPr>
            <w:tcW w:w="1545" w:type="dxa"/>
            <w:tcBorders>
              <w:top w:val="single" w:sz="12" w:space="0" w:color="auto"/>
              <w:left w:val="single" w:sz="12" w:space="0" w:color="auto"/>
              <w:bottom w:val="single" w:sz="12" w:space="0" w:color="auto"/>
              <w:right w:val="single" w:sz="12" w:space="0" w:color="auto"/>
            </w:tcBorders>
            <w:shd w:val="clear" w:color="auto" w:fill="auto"/>
            <w:hideMark/>
          </w:tcPr>
          <w:p w14:paraId="32AAA49D"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Topic </w:t>
            </w:r>
          </w:p>
        </w:tc>
        <w:tc>
          <w:tcPr>
            <w:tcW w:w="5070" w:type="dxa"/>
            <w:tcBorders>
              <w:top w:val="single" w:sz="12" w:space="0" w:color="auto"/>
              <w:left w:val="single" w:sz="12" w:space="0" w:color="auto"/>
              <w:bottom w:val="single" w:sz="12" w:space="0" w:color="auto"/>
              <w:right w:val="single" w:sz="12" w:space="0" w:color="auto"/>
            </w:tcBorders>
            <w:shd w:val="clear" w:color="auto" w:fill="auto"/>
            <w:hideMark/>
          </w:tcPr>
          <w:p w14:paraId="5779F2ED"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Category of childhood experience </w:t>
            </w:r>
          </w:p>
        </w:tc>
        <w:tc>
          <w:tcPr>
            <w:tcW w:w="2700" w:type="dxa"/>
            <w:tcBorders>
              <w:top w:val="single" w:sz="12" w:space="0" w:color="auto"/>
              <w:left w:val="single" w:sz="12" w:space="0" w:color="auto"/>
              <w:bottom w:val="single" w:sz="12" w:space="0" w:color="auto"/>
              <w:right w:val="single" w:sz="12" w:space="0" w:color="auto"/>
            </w:tcBorders>
            <w:shd w:val="clear" w:color="auto" w:fill="auto"/>
            <w:hideMark/>
          </w:tcPr>
          <w:p w14:paraId="7C694A68"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Bullying </w:t>
            </w:r>
          </w:p>
          <w:p w14:paraId="6E586F97"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Community Challenges </w:t>
            </w:r>
          </w:p>
          <w:p w14:paraId="51BDDEC7"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Dating Violence </w:t>
            </w:r>
          </w:p>
          <w:p w14:paraId="7C1859EC"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Material needs </w:t>
            </w:r>
          </w:p>
        </w:tc>
      </w:tr>
      <w:tr w:rsidR="00C06637" w:rsidRPr="00614CF2" w14:paraId="23A75C98" w14:textId="77777777" w:rsidTr="00481C21">
        <w:trPr>
          <w:gridAfter w:val="1"/>
          <w:wAfter w:w="15" w:type="dxa"/>
          <w:trHeight w:val="285"/>
        </w:trPr>
        <w:tc>
          <w:tcPr>
            <w:tcW w:w="1545" w:type="dxa"/>
            <w:tcBorders>
              <w:top w:val="single" w:sz="12" w:space="0" w:color="auto"/>
              <w:left w:val="single" w:sz="12" w:space="0" w:color="auto"/>
              <w:bottom w:val="single" w:sz="12" w:space="0" w:color="auto"/>
              <w:right w:val="single" w:sz="12" w:space="0" w:color="auto"/>
            </w:tcBorders>
            <w:shd w:val="clear" w:color="auto" w:fill="auto"/>
            <w:hideMark/>
          </w:tcPr>
          <w:p w14:paraId="77892858"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Population Group </w:t>
            </w:r>
          </w:p>
        </w:tc>
        <w:tc>
          <w:tcPr>
            <w:tcW w:w="5070" w:type="dxa"/>
            <w:tcBorders>
              <w:top w:val="single" w:sz="12" w:space="0" w:color="auto"/>
              <w:left w:val="single" w:sz="12" w:space="0" w:color="auto"/>
              <w:bottom w:val="single" w:sz="12" w:space="0" w:color="auto"/>
              <w:right w:val="single" w:sz="12" w:space="0" w:color="auto"/>
            </w:tcBorders>
            <w:shd w:val="clear" w:color="auto" w:fill="auto"/>
            <w:hideMark/>
          </w:tcPr>
          <w:p w14:paraId="63DDBB17"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The characteristic youth are grouped by to determine differences- such as age, disability, or sex. </w:t>
            </w:r>
          </w:p>
        </w:tc>
        <w:tc>
          <w:tcPr>
            <w:tcW w:w="2700" w:type="dxa"/>
            <w:tcBorders>
              <w:top w:val="single" w:sz="12" w:space="0" w:color="auto"/>
              <w:left w:val="single" w:sz="12" w:space="0" w:color="auto"/>
              <w:bottom w:val="single" w:sz="12" w:space="0" w:color="auto"/>
              <w:right w:val="single" w:sz="12" w:space="0" w:color="auto"/>
            </w:tcBorders>
            <w:shd w:val="clear" w:color="auto" w:fill="auto"/>
            <w:hideMark/>
          </w:tcPr>
          <w:p w14:paraId="4C5F5CC3"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Age </w:t>
            </w:r>
          </w:p>
          <w:p w14:paraId="017684E7"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Any Long-term Disability </w:t>
            </w:r>
          </w:p>
          <w:p w14:paraId="3AD54026"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Employment </w:t>
            </w:r>
          </w:p>
          <w:p w14:paraId="220ACE6B"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Housing instability </w:t>
            </w:r>
          </w:p>
          <w:p w14:paraId="139DB14C"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Overall </w:t>
            </w:r>
          </w:p>
        </w:tc>
      </w:tr>
      <w:tr w:rsidR="00C06637" w:rsidRPr="00614CF2" w14:paraId="081F827B" w14:textId="77777777" w:rsidTr="00481C21">
        <w:trPr>
          <w:gridAfter w:val="1"/>
          <w:wAfter w:w="15" w:type="dxa"/>
          <w:trHeight w:val="225"/>
        </w:trPr>
        <w:tc>
          <w:tcPr>
            <w:tcW w:w="1545" w:type="dxa"/>
            <w:tcBorders>
              <w:top w:val="single" w:sz="12" w:space="0" w:color="auto"/>
              <w:left w:val="single" w:sz="12" w:space="0" w:color="auto"/>
              <w:bottom w:val="single" w:sz="12" w:space="0" w:color="auto"/>
              <w:right w:val="single" w:sz="12" w:space="0" w:color="auto"/>
            </w:tcBorders>
            <w:shd w:val="clear" w:color="auto" w:fill="auto"/>
            <w:hideMark/>
          </w:tcPr>
          <w:p w14:paraId="6697FE98"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Population </w:t>
            </w:r>
          </w:p>
        </w:tc>
        <w:tc>
          <w:tcPr>
            <w:tcW w:w="5070" w:type="dxa"/>
            <w:tcBorders>
              <w:top w:val="single" w:sz="12" w:space="0" w:color="auto"/>
              <w:left w:val="single" w:sz="12" w:space="0" w:color="auto"/>
              <w:bottom w:val="single" w:sz="12" w:space="0" w:color="auto"/>
              <w:right w:val="single" w:sz="12" w:space="0" w:color="auto"/>
            </w:tcBorders>
            <w:shd w:val="clear" w:color="auto" w:fill="auto"/>
            <w:hideMark/>
          </w:tcPr>
          <w:p w14:paraId="700F0314"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The specific population within a population group that a prevalence estimate will be determined for (such as 15 years old within the age population group stratification). </w:t>
            </w:r>
          </w:p>
        </w:tc>
        <w:tc>
          <w:tcPr>
            <w:tcW w:w="2700" w:type="dxa"/>
            <w:tcBorders>
              <w:top w:val="single" w:sz="12" w:space="0" w:color="auto"/>
              <w:left w:val="single" w:sz="12" w:space="0" w:color="auto"/>
              <w:bottom w:val="single" w:sz="12" w:space="0" w:color="auto"/>
              <w:right w:val="single" w:sz="12" w:space="0" w:color="auto"/>
            </w:tcBorders>
            <w:shd w:val="clear" w:color="auto" w:fill="auto"/>
            <w:hideMark/>
          </w:tcPr>
          <w:p w14:paraId="0AF60BC2"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15 years old </w:t>
            </w:r>
          </w:p>
          <w:p w14:paraId="1C2DBDC3"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16 years old </w:t>
            </w:r>
          </w:p>
          <w:p w14:paraId="21D5A2BB"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Asian, non-Hispanic/Latinx </w:t>
            </w:r>
          </w:p>
          <w:p w14:paraId="1BD09EF3"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Female </w:t>
            </w:r>
          </w:p>
          <w:p w14:paraId="2D6EA0E7"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Employed </w:t>
            </w:r>
          </w:p>
        </w:tc>
      </w:tr>
      <w:tr w:rsidR="00C06637" w:rsidRPr="00614CF2" w14:paraId="06FB4E54" w14:textId="77777777" w:rsidTr="00481C21">
        <w:trPr>
          <w:gridAfter w:val="1"/>
          <w:wAfter w:w="15" w:type="dxa"/>
          <w:trHeight w:val="600"/>
        </w:trPr>
        <w:tc>
          <w:tcPr>
            <w:tcW w:w="1545" w:type="dxa"/>
            <w:tcBorders>
              <w:top w:val="single" w:sz="12" w:space="0" w:color="auto"/>
              <w:left w:val="single" w:sz="12" w:space="0" w:color="auto"/>
              <w:bottom w:val="single" w:sz="12" w:space="0" w:color="auto"/>
              <w:right w:val="single" w:sz="12" w:space="0" w:color="auto"/>
            </w:tcBorders>
            <w:shd w:val="clear" w:color="auto" w:fill="auto"/>
            <w:hideMark/>
          </w:tcPr>
          <w:p w14:paraId="3BDD63E1"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Experience </w:t>
            </w:r>
          </w:p>
        </w:tc>
        <w:tc>
          <w:tcPr>
            <w:tcW w:w="5070" w:type="dxa"/>
            <w:tcBorders>
              <w:top w:val="single" w:sz="12" w:space="0" w:color="auto"/>
              <w:left w:val="single" w:sz="12" w:space="0" w:color="auto"/>
              <w:bottom w:val="single" w:sz="12" w:space="0" w:color="auto"/>
              <w:right w:val="single" w:sz="12" w:space="0" w:color="auto"/>
            </w:tcBorders>
            <w:shd w:val="clear" w:color="auto" w:fill="auto"/>
            <w:hideMark/>
          </w:tcPr>
          <w:p w14:paraId="374D753F"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57051537">
              <w:rPr>
                <w:rFonts w:ascii="Calibri" w:eastAsia="Times New Roman" w:hAnsi="Calibri" w:cs="Calibri"/>
                <w:color w:val="000000" w:themeColor="text1"/>
              </w:rPr>
              <w:t>The specific experience, including timeframe (e.g. "ever", "within the past month", "within the past year"), within a topic of childhood experiences. </w:t>
            </w:r>
          </w:p>
        </w:tc>
        <w:tc>
          <w:tcPr>
            <w:tcW w:w="2700" w:type="dxa"/>
            <w:tcBorders>
              <w:top w:val="single" w:sz="12" w:space="0" w:color="auto"/>
              <w:left w:val="single" w:sz="12" w:space="0" w:color="auto"/>
              <w:bottom w:val="single" w:sz="12" w:space="0" w:color="auto"/>
              <w:right w:val="single" w:sz="12" w:space="0" w:color="auto"/>
            </w:tcBorders>
            <w:shd w:val="clear" w:color="auto" w:fill="auto"/>
            <w:hideMark/>
          </w:tcPr>
          <w:p w14:paraId="3197C8CE"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 xml:space="preserve">Past year, bullied at </w:t>
            </w:r>
            <w:proofErr w:type="gramStart"/>
            <w:r w:rsidRPr="00614CF2">
              <w:rPr>
                <w:rFonts w:ascii="Calibri" w:eastAsia="Times New Roman" w:hAnsi="Calibri" w:cs="Calibri"/>
                <w:color w:val="000000"/>
              </w:rPr>
              <w:t>school</w:t>
            </w:r>
            <w:proofErr w:type="gramEnd"/>
            <w:r w:rsidRPr="00614CF2">
              <w:rPr>
                <w:rFonts w:ascii="Calibri" w:eastAsia="Times New Roman" w:hAnsi="Calibri" w:cs="Calibri"/>
                <w:color w:val="000000"/>
              </w:rPr>
              <w:t> </w:t>
            </w:r>
          </w:p>
          <w:p w14:paraId="26FF554A"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Currently consider neighborhood unsafe </w:t>
            </w:r>
          </w:p>
          <w:p w14:paraId="2C77B22E"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Past week, participated in organized activities </w:t>
            </w:r>
          </w:p>
        </w:tc>
      </w:tr>
      <w:tr w:rsidR="00C06637" w:rsidRPr="00614CF2" w14:paraId="7AE1D19B" w14:textId="77777777" w:rsidTr="00481C21">
        <w:trPr>
          <w:gridAfter w:val="1"/>
          <w:wAfter w:w="15" w:type="dxa"/>
          <w:trHeight w:val="75"/>
        </w:trPr>
        <w:tc>
          <w:tcPr>
            <w:tcW w:w="1545" w:type="dxa"/>
            <w:tcBorders>
              <w:top w:val="single" w:sz="12" w:space="0" w:color="auto"/>
              <w:left w:val="single" w:sz="12" w:space="0" w:color="auto"/>
              <w:bottom w:val="single" w:sz="12" w:space="0" w:color="auto"/>
              <w:right w:val="single" w:sz="12" w:space="0" w:color="auto"/>
            </w:tcBorders>
            <w:shd w:val="clear" w:color="auto" w:fill="auto"/>
            <w:hideMark/>
          </w:tcPr>
          <w:p w14:paraId="71F8A828"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Experience Group </w:t>
            </w:r>
          </w:p>
        </w:tc>
        <w:tc>
          <w:tcPr>
            <w:tcW w:w="5070" w:type="dxa"/>
            <w:tcBorders>
              <w:top w:val="single" w:sz="12" w:space="0" w:color="auto"/>
              <w:left w:val="single" w:sz="12" w:space="0" w:color="auto"/>
              <w:bottom w:val="single" w:sz="12" w:space="0" w:color="auto"/>
              <w:right w:val="single" w:sz="12" w:space="0" w:color="auto"/>
            </w:tcBorders>
            <w:shd w:val="clear" w:color="auto" w:fill="auto"/>
            <w:hideMark/>
          </w:tcPr>
          <w:p w14:paraId="6B57F6D9"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Only applicable to some questions, this group is the sub-group of the total respondent sample that identified they had had a life experience that could expose them to a particular ACE or PCE, allowing researchers to exclude youth who could not experience the ACE or PCE because they did not have that life experience. This data element is only applicable to the Dating Violence topic on the dashboard. </w:t>
            </w:r>
          </w:p>
        </w:tc>
        <w:tc>
          <w:tcPr>
            <w:tcW w:w="2700" w:type="dxa"/>
            <w:tcBorders>
              <w:top w:val="single" w:sz="12" w:space="0" w:color="auto"/>
              <w:left w:val="single" w:sz="12" w:space="0" w:color="auto"/>
              <w:bottom w:val="single" w:sz="12" w:space="0" w:color="auto"/>
              <w:right w:val="single" w:sz="12" w:space="0" w:color="auto"/>
            </w:tcBorders>
            <w:shd w:val="clear" w:color="auto" w:fill="auto"/>
            <w:hideMark/>
          </w:tcPr>
          <w:p w14:paraId="28A5C776"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Those who have ever dated </w:t>
            </w:r>
          </w:p>
        </w:tc>
      </w:tr>
      <w:tr w:rsidR="00C06637" w:rsidRPr="00614CF2" w14:paraId="57F9A2B3" w14:textId="77777777" w:rsidTr="00481C21">
        <w:trPr>
          <w:gridAfter w:val="1"/>
          <w:wAfter w:w="15" w:type="dxa"/>
          <w:trHeight w:val="870"/>
        </w:trPr>
        <w:tc>
          <w:tcPr>
            <w:tcW w:w="1545" w:type="dxa"/>
            <w:tcBorders>
              <w:top w:val="single" w:sz="12" w:space="0" w:color="auto"/>
              <w:left w:val="single" w:sz="12" w:space="0" w:color="auto"/>
              <w:bottom w:val="single" w:sz="12" w:space="0" w:color="auto"/>
              <w:right w:val="single" w:sz="12" w:space="0" w:color="auto"/>
            </w:tcBorders>
            <w:shd w:val="clear" w:color="auto" w:fill="auto"/>
            <w:hideMark/>
          </w:tcPr>
          <w:p w14:paraId="44331C0C"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Sample Size </w:t>
            </w:r>
          </w:p>
        </w:tc>
        <w:tc>
          <w:tcPr>
            <w:tcW w:w="5070" w:type="dxa"/>
            <w:tcBorders>
              <w:top w:val="single" w:sz="12" w:space="0" w:color="auto"/>
              <w:left w:val="single" w:sz="12" w:space="0" w:color="auto"/>
              <w:bottom w:val="single" w:sz="12" w:space="0" w:color="auto"/>
              <w:right w:val="single" w:sz="12" w:space="0" w:color="auto"/>
            </w:tcBorders>
            <w:shd w:val="clear" w:color="auto" w:fill="auto"/>
            <w:hideMark/>
          </w:tcPr>
          <w:p w14:paraId="77C7D232"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 xml:space="preserve">The number of students who responded to the </w:t>
            </w:r>
            <w:proofErr w:type="gramStart"/>
            <w:r w:rsidRPr="00614CF2">
              <w:rPr>
                <w:rFonts w:ascii="Calibri" w:eastAsia="Times New Roman" w:hAnsi="Calibri" w:cs="Calibri"/>
                <w:color w:val="000000"/>
              </w:rPr>
              <w:t>particular question</w:t>
            </w:r>
            <w:proofErr w:type="gramEnd"/>
            <w:r w:rsidRPr="00614CF2">
              <w:rPr>
                <w:rFonts w:ascii="Calibri" w:eastAsia="Times New Roman" w:hAnsi="Calibri" w:cs="Calibri"/>
                <w:color w:val="000000"/>
              </w:rPr>
              <w:t xml:space="preserve"> or questions used to define the experience. </w:t>
            </w:r>
          </w:p>
        </w:tc>
        <w:tc>
          <w:tcPr>
            <w:tcW w:w="2700" w:type="dxa"/>
            <w:tcBorders>
              <w:top w:val="single" w:sz="12" w:space="0" w:color="auto"/>
              <w:left w:val="single" w:sz="12" w:space="0" w:color="auto"/>
              <w:bottom w:val="single" w:sz="12" w:space="0" w:color="auto"/>
              <w:right w:val="single" w:sz="12" w:space="0" w:color="auto"/>
            </w:tcBorders>
            <w:shd w:val="clear" w:color="auto" w:fill="auto"/>
            <w:hideMark/>
          </w:tcPr>
          <w:p w14:paraId="47D7C033"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132 </w:t>
            </w:r>
          </w:p>
          <w:p w14:paraId="3AF53E11"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577 </w:t>
            </w:r>
          </w:p>
          <w:p w14:paraId="6D5AEE56"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1,324 </w:t>
            </w:r>
          </w:p>
          <w:p w14:paraId="5476431D"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Too few respondents </w:t>
            </w:r>
          </w:p>
        </w:tc>
      </w:tr>
      <w:tr w:rsidR="00C06637" w:rsidRPr="00614CF2" w14:paraId="73DB613D" w14:textId="77777777" w:rsidTr="00481C21">
        <w:trPr>
          <w:gridAfter w:val="1"/>
          <w:wAfter w:w="15" w:type="dxa"/>
          <w:trHeight w:val="2274"/>
        </w:trPr>
        <w:tc>
          <w:tcPr>
            <w:tcW w:w="1545" w:type="dxa"/>
            <w:tcBorders>
              <w:top w:val="single" w:sz="12" w:space="0" w:color="auto"/>
              <w:left w:val="single" w:sz="12" w:space="0" w:color="auto"/>
              <w:bottom w:val="single" w:sz="12" w:space="0" w:color="auto"/>
              <w:right w:val="single" w:sz="12" w:space="0" w:color="auto"/>
            </w:tcBorders>
            <w:shd w:val="clear" w:color="auto" w:fill="auto"/>
            <w:hideMark/>
          </w:tcPr>
          <w:p w14:paraId="1EE38DD6"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lastRenderedPageBreak/>
              <w:t>Percent Reporting the Experience </w:t>
            </w:r>
          </w:p>
        </w:tc>
        <w:tc>
          <w:tcPr>
            <w:tcW w:w="5070" w:type="dxa"/>
            <w:tcBorders>
              <w:top w:val="single" w:sz="12" w:space="0" w:color="auto"/>
              <w:left w:val="single" w:sz="12" w:space="0" w:color="auto"/>
              <w:bottom w:val="single" w:sz="12" w:space="0" w:color="auto"/>
              <w:right w:val="single" w:sz="12" w:space="0" w:color="auto"/>
            </w:tcBorders>
            <w:shd w:val="clear" w:color="auto" w:fill="auto"/>
            <w:hideMark/>
          </w:tcPr>
          <w:p w14:paraId="1AC5184C"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A weighted estimate that provides the prevalence estimate for a specific experience based on survey responses in the selected survey sample that can be generalized to the state population</w:t>
            </w:r>
            <w:r>
              <w:rPr>
                <w:rFonts w:ascii="Calibri" w:eastAsia="Times New Roman" w:hAnsi="Calibri" w:cs="Calibri"/>
                <w:color w:val="000000"/>
              </w:rPr>
              <w:t xml:space="preserve"> of a specific group</w:t>
            </w:r>
            <w:r w:rsidRPr="00614CF2">
              <w:rPr>
                <w:rFonts w:ascii="Calibri" w:eastAsia="Times New Roman" w:hAnsi="Calibri" w:cs="Calibri"/>
                <w:color w:val="000000"/>
              </w:rPr>
              <w:t xml:space="preserve">. This estimate may be determined for a specific population within a population group. Youth Surveys: Percent of </w:t>
            </w:r>
            <w:proofErr w:type="gramStart"/>
            <w:r w:rsidRPr="00614CF2">
              <w:rPr>
                <w:rFonts w:ascii="Calibri" w:eastAsia="Times New Roman" w:hAnsi="Calibri" w:cs="Calibri"/>
                <w:color w:val="000000"/>
              </w:rPr>
              <w:t>public school</w:t>
            </w:r>
            <w:proofErr w:type="gramEnd"/>
            <w:r w:rsidRPr="00614CF2">
              <w:rPr>
                <w:rFonts w:ascii="Calibri" w:eastAsia="Times New Roman" w:hAnsi="Calibri" w:cs="Calibri"/>
                <w:color w:val="000000"/>
              </w:rPr>
              <w:t xml:space="preserve"> students who reported the childhood experience </w:t>
            </w:r>
          </w:p>
        </w:tc>
        <w:tc>
          <w:tcPr>
            <w:tcW w:w="2700" w:type="dxa"/>
            <w:tcBorders>
              <w:top w:val="single" w:sz="12" w:space="0" w:color="auto"/>
              <w:left w:val="single" w:sz="12" w:space="0" w:color="auto"/>
              <w:bottom w:val="single" w:sz="12" w:space="0" w:color="auto"/>
              <w:right w:val="single" w:sz="12" w:space="0" w:color="auto"/>
            </w:tcBorders>
            <w:shd w:val="clear" w:color="auto" w:fill="auto"/>
            <w:hideMark/>
          </w:tcPr>
          <w:p w14:paraId="1641CF03"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 </w:t>
            </w:r>
          </w:p>
          <w:p w14:paraId="75AF70CA"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53.7% </w:t>
            </w:r>
          </w:p>
          <w:p w14:paraId="6686F941"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85.5% </w:t>
            </w:r>
          </w:p>
          <w:p w14:paraId="631526D3"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91.0% </w:t>
            </w:r>
          </w:p>
          <w:p w14:paraId="3D7F624A"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Too few respondents </w:t>
            </w:r>
          </w:p>
          <w:p w14:paraId="5AEA9177"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 </w:t>
            </w:r>
          </w:p>
        </w:tc>
      </w:tr>
      <w:tr w:rsidR="00C06637" w:rsidRPr="00614CF2" w14:paraId="7878C343" w14:textId="77777777" w:rsidTr="00481C21">
        <w:trPr>
          <w:gridAfter w:val="1"/>
          <w:wAfter w:w="15" w:type="dxa"/>
          <w:trHeight w:val="1500"/>
        </w:trPr>
        <w:tc>
          <w:tcPr>
            <w:tcW w:w="1545" w:type="dxa"/>
            <w:tcBorders>
              <w:top w:val="single" w:sz="12" w:space="0" w:color="auto"/>
              <w:left w:val="single" w:sz="12" w:space="0" w:color="auto"/>
              <w:bottom w:val="single" w:sz="12" w:space="0" w:color="auto"/>
              <w:right w:val="single" w:sz="12" w:space="0" w:color="auto"/>
            </w:tcBorders>
            <w:shd w:val="clear" w:color="auto" w:fill="auto"/>
            <w:hideMark/>
          </w:tcPr>
          <w:p w14:paraId="422E474A"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Overall Percent Reporting the Experience </w:t>
            </w:r>
          </w:p>
        </w:tc>
        <w:tc>
          <w:tcPr>
            <w:tcW w:w="5070" w:type="dxa"/>
            <w:tcBorders>
              <w:top w:val="single" w:sz="12" w:space="0" w:color="auto"/>
              <w:left w:val="single" w:sz="12" w:space="0" w:color="auto"/>
              <w:bottom w:val="single" w:sz="12" w:space="0" w:color="auto"/>
              <w:right w:val="single" w:sz="12" w:space="0" w:color="auto"/>
            </w:tcBorders>
            <w:shd w:val="clear" w:color="auto" w:fill="auto"/>
            <w:hideMark/>
          </w:tcPr>
          <w:p w14:paraId="0471AB8B"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 xml:space="preserve">A weighted overall estimate that provides the prevalence estimate for a specific experience based on survey responses in the selected survey sample. This is the estimate of how common the experience is in the overall MA state population of youth. Youth surveys: Overall percent of </w:t>
            </w:r>
            <w:proofErr w:type="gramStart"/>
            <w:r w:rsidRPr="00614CF2">
              <w:rPr>
                <w:rFonts w:ascii="Calibri" w:eastAsia="Times New Roman" w:hAnsi="Calibri" w:cs="Calibri"/>
                <w:color w:val="000000"/>
              </w:rPr>
              <w:t>public school</w:t>
            </w:r>
            <w:proofErr w:type="gramEnd"/>
            <w:r w:rsidRPr="00614CF2">
              <w:rPr>
                <w:rFonts w:ascii="Calibri" w:eastAsia="Times New Roman" w:hAnsi="Calibri" w:cs="Calibri"/>
                <w:color w:val="000000"/>
              </w:rPr>
              <w:t xml:space="preserve"> students who reported the childhood experience </w:t>
            </w:r>
          </w:p>
        </w:tc>
        <w:tc>
          <w:tcPr>
            <w:tcW w:w="2700" w:type="dxa"/>
            <w:tcBorders>
              <w:top w:val="single" w:sz="12" w:space="0" w:color="auto"/>
              <w:left w:val="single" w:sz="12" w:space="0" w:color="auto"/>
              <w:bottom w:val="single" w:sz="12" w:space="0" w:color="auto"/>
              <w:right w:val="single" w:sz="12" w:space="0" w:color="auto"/>
            </w:tcBorders>
            <w:shd w:val="clear" w:color="auto" w:fill="auto"/>
            <w:hideMark/>
          </w:tcPr>
          <w:p w14:paraId="17CE95D1"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 </w:t>
            </w:r>
          </w:p>
          <w:p w14:paraId="6B562DBE"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53.7% </w:t>
            </w:r>
          </w:p>
          <w:p w14:paraId="6425C26A"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85.5% </w:t>
            </w:r>
          </w:p>
          <w:p w14:paraId="17A04808"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91.0% </w:t>
            </w:r>
          </w:p>
          <w:p w14:paraId="7AF8277B"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Too few respondents </w:t>
            </w:r>
          </w:p>
          <w:p w14:paraId="1D0F8BF4"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 </w:t>
            </w:r>
          </w:p>
        </w:tc>
      </w:tr>
      <w:tr w:rsidR="00C06637" w:rsidRPr="00614CF2" w14:paraId="63710359" w14:textId="77777777" w:rsidTr="00481C21">
        <w:trPr>
          <w:gridAfter w:val="1"/>
          <w:wAfter w:w="15" w:type="dxa"/>
          <w:trHeight w:val="2205"/>
        </w:trPr>
        <w:tc>
          <w:tcPr>
            <w:tcW w:w="1545" w:type="dxa"/>
            <w:tcBorders>
              <w:top w:val="single" w:sz="12" w:space="0" w:color="auto"/>
              <w:left w:val="single" w:sz="12" w:space="0" w:color="auto"/>
              <w:bottom w:val="single" w:sz="12" w:space="0" w:color="auto"/>
              <w:right w:val="single" w:sz="12" w:space="0" w:color="auto"/>
            </w:tcBorders>
            <w:shd w:val="clear" w:color="auto" w:fill="auto"/>
            <w:hideMark/>
          </w:tcPr>
          <w:p w14:paraId="4BE7E750"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Lower Confidence Level of Percent </w:t>
            </w:r>
          </w:p>
        </w:tc>
        <w:tc>
          <w:tcPr>
            <w:tcW w:w="5070" w:type="dxa"/>
            <w:tcBorders>
              <w:top w:val="single" w:sz="12" w:space="0" w:color="auto"/>
              <w:left w:val="single" w:sz="12" w:space="0" w:color="auto"/>
              <w:bottom w:val="single" w:sz="12" w:space="0" w:color="auto"/>
              <w:right w:val="single" w:sz="12" w:space="0" w:color="auto"/>
            </w:tcBorders>
            <w:shd w:val="clear" w:color="auto" w:fill="auto"/>
            <w:hideMark/>
          </w:tcPr>
          <w:p w14:paraId="1AA1B936"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57051537">
              <w:rPr>
                <w:rFonts w:ascii="Calibri" w:eastAsia="Times New Roman" w:hAnsi="Calibri" w:cs="Calibri"/>
                <w:color w:val="000000" w:themeColor="text1"/>
              </w:rPr>
              <w:t>The</w:t>
            </w:r>
            <w:r w:rsidRPr="57051537" w:rsidDel="002E3107">
              <w:rPr>
                <w:rFonts w:ascii="Calibri" w:eastAsia="Times New Roman" w:hAnsi="Calibri" w:cs="Calibri"/>
                <w:color w:val="000000" w:themeColor="text1"/>
              </w:rPr>
              <w:t xml:space="preserve"> </w:t>
            </w:r>
            <w:r w:rsidRPr="57051537">
              <w:rPr>
                <w:rFonts w:ascii="Calibri" w:eastAsia="Times New Roman" w:hAnsi="Calibri" w:cs="Calibri"/>
                <w:color w:val="000000" w:themeColor="text1"/>
              </w:rPr>
              <w:t xml:space="preserve">lower bound of a 95% confidence interval (a range of values in which we may expect to see the estimate of true prevalence 95% of the time if we redid the sample and survey many times) for the estimated prevalence of a specific experience </w:t>
            </w:r>
            <w:r w:rsidRPr="57051537" w:rsidDel="00B16E45">
              <w:rPr>
                <w:rFonts w:ascii="Calibri" w:eastAsia="Times New Roman" w:hAnsi="Calibri" w:cs="Calibri"/>
                <w:color w:val="000000" w:themeColor="text1"/>
              </w:rPr>
              <w:t xml:space="preserve">in the </w:t>
            </w:r>
            <w:r w:rsidRPr="57051537">
              <w:rPr>
                <w:rFonts w:ascii="Calibri" w:eastAsia="Times New Roman" w:hAnsi="Calibri" w:cs="Calibri"/>
                <w:color w:val="000000" w:themeColor="text1"/>
              </w:rPr>
              <w:t xml:space="preserve">state population. Like the prevalence estimate itself, this number is based on survey responses in the selected survey sample and is weighted. Youth Surveys: Lower confidence level for the percent of </w:t>
            </w:r>
            <w:proofErr w:type="gramStart"/>
            <w:r w:rsidRPr="57051537">
              <w:rPr>
                <w:rFonts w:ascii="Calibri" w:eastAsia="Times New Roman" w:hAnsi="Calibri" w:cs="Calibri"/>
                <w:color w:val="000000" w:themeColor="text1"/>
              </w:rPr>
              <w:t>public school</w:t>
            </w:r>
            <w:proofErr w:type="gramEnd"/>
            <w:r w:rsidRPr="57051537">
              <w:rPr>
                <w:rFonts w:ascii="Calibri" w:eastAsia="Times New Roman" w:hAnsi="Calibri" w:cs="Calibri"/>
                <w:color w:val="000000" w:themeColor="text1"/>
              </w:rPr>
              <w:t xml:space="preserve"> students who reported the childhood experience </w:t>
            </w:r>
          </w:p>
        </w:tc>
        <w:tc>
          <w:tcPr>
            <w:tcW w:w="2700" w:type="dxa"/>
            <w:tcBorders>
              <w:top w:val="single" w:sz="12" w:space="0" w:color="auto"/>
              <w:left w:val="single" w:sz="12" w:space="0" w:color="auto"/>
              <w:bottom w:val="single" w:sz="12" w:space="0" w:color="auto"/>
              <w:right w:val="single" w:sz="12" w:space="0" w:color="auto"/>
            </w:tcBorders>
            <w:shd w:val="clear" w:color="auto" w:fill="auto"/>
            <w:hideMark/>
          </w:tcPr>
          <w:p w14:paraId="494B1B97"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 </w:t>
            </w:r>
          </w:p>
          <w:p w14:paraId="616E5AED"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53.7% </w:t>
            </w:r>
          </w:p>
          <w:p w14:paraId="61A32597"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85.5% </w:t>
            </w:r>
          </w:p>
          <w:p w14:paraId="4AE5F67C"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91.0% </w:t>
            </w:r>
          </w:p>
          <w:p w14:paraId="732DCAB6"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Too few respondents </w:t>
            </w:r>
          </w:p>
          <w:p w14:paraId="3EC695E3"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 </w:t>
            </w:r>
          </w:p>
        </w:tc>
      </w:tr>
      <w:tr w:rsidR="00C06637" w:rsidRPr="00614CF2" w14:paraId="6252E8CD" w14:textId="77777777" w:rsidTr="00481C21">
        <w:trPr>
          <w:gridAfter w:val="1"/>
          <w:wAfter w:w="15" w:type="dxa"/>
          <w:trHeight w:val="2295"/>
        </w:trPr>
        <w:tc>
          <w:tcPr>
            <w:tcW w:w="1545" w:type="dxa"/>
            <w:tcBorders>
              <w:top w:val="single" w:sz="12" w:space="0" w:color="auto"/>
              <w:left w:val="single" w:sz="12" w:space="0" w:color="auto"/>
              <w:bottom w:val="single" w:sz="12" w:space="0" w:color="auto"/>
              <w:right w:val="single" w:sz="12" w:space="0" w:color="auto"/>
            </w:tcBorders>
            <w:shd w:val="clear" w:color="auto" w:fill="auto"/>
            <w:hideMark/>
          </w:tcPr>
          <w:p w14:paraId="019A5E07"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Upper Confidence Level of Percent </w:t>
            </w:r>
          </w:p>
        </w:tc>
        <w:tc>
          <w:tcPr>
            <w:tcW w:w="5070" w:type="dxa"/>
            <w:tcBorders>
              <w:top w:val="single" w:sz="12" w:space="0" w:color="auto"/>
              <w:left w:val="single" w:sz="12" w:space="0" w:color="auto"/>
              <w:bottom w:val="single" w:sz="12" w:space="0" w:color="auto"/>
              <w:right w:val="single" w:sz="12" w:space="0" w:color="auto"/>
            </w:tcBorders>
            <w:shd w:val="clear" w:color="auto" w:fill="auto"/>
            <w:hideMark/>
          </w:tcPr>
          <w:p w14:paraId="1A15ED37"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57051537">
              <w:rPr>
                <w:rFonts w:ascii="Calibri" w:eastAsia="Times New Roman" w:hAnsi="Calibri" w:cs="Calibri"/>
                <w:color w:val="000000" w:themeColor="text1"/>
              </w:rPr>
              <w:t>The upper bound of a 95% confidence interval (a range of values in which we may expect to see the estimate of true prevalence 95% of the time if we redid the sample and survey many times) for the estimated prevalence of a specific experience in the state population. Like the prevalence estimate itself, this number is based on survey responses in the selected survey sample and is weighted.</w:t>
            </w:r>
            <w:r>
              <w:rPr>
                <w:rFonts w:ascii="Calibri" w:eastAsia="Times New Roman" w:hAnsi="Calibri" w:cs="Calibri"/>
                <w:color w:val="000000" w:themeColor="text1"/>
              </w:rPr>
              <w:t xml:space="preserve"> </w:t>
            </w:r>
            <w:r w:rsidRPr="57051537">
              <w:rPr>
                <w:rFonts w:ascii="Calibri" w:eastAsia="Times New Roman" w:hAnsi="Calibri" w:cs="Calibri"/>
                <w:color w:val="000000" w:themeColor="text1"/>
              </w:rPr>
              <w:t xml:space="preserve">Youth Surveys: Upper confidence level for the percent of </w:t>
            </w:r>
            <w:proofErr w:type="gramStart"/>
            <w:r w:rsidRPr="57051537">
              <w:rPr>
                <w:rFonts w:ascii="Calibri" w:eastAsia="Times New Roman" w:hAnsi="Calibri" w:cs="Calibri"/>
                <w:color w:val="000000" w:themeColor="text1"/>
              </w:rPr>
              <w:t>public school</w:t>
            </w:r>
            <w:proofErr w:type="gramEnd"/>
            <w:r w:rsidRPr="57051537">
              <w:rPr>
                <w:rFonts w:ascii="Calibri" w:eastAsia="Times New Roman" w:hAnsi="Calibri" w:cs="Calibri"/>
                <w:color w:val="000000" w:themeColor="text1"/>
              </w:rPr>
              <w:t xml:space="preserve"> students who reported the childhood experience </w:t>
            </w:r>
          </w:p>
        </w:tc>
        <w:tc>
          <w:tcPr>
            <w:tcW w:w="2700" w:type="dxa"/>
            <w:tcBorders>
              <w:top w:val="single" w:sz="12" w:space="0" w:color="auto"/>
              <w:left w:val="single" w:sz="12" w:space="0" w:color="auto"/>
              <w:bottom w:val="single" w:sz="12" w:space="0" w:color="auto"/>
              <w:right w:val="single" w:sz="12" w:space="0" w:color="auto"/>
            </w:tcBorders>
            <w:shd w:val="clear" w:color="auto" w:fill="auto"/>
            <w:hideMark/>
          </w:tcPr>
          <w:p w14:paraId="563A1313"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  </w:t>
            </w:r>
          </w:p>
          <w:p w14:paraId="0CFA98CF"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53.7% </w:t>
            </w:r>
          </w:p>
          <w:p w14:paraId="04C4F15A"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85.5% </w:t>
            </w:r>
          </w:p>
          <w:p w14:paraId="126BCD5C"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91.0% </w:t>
            </w:r>
          </w:p>
          <w:p w14:paraId="4CB1F6B9" w14:textId="77777777" w:rsidR="00C06637" w:rsidRPr="00614CF2" w:rsidRDefault="00C06637" w:rsidP="00481C21">
            <w:pPr>
              <w:spacing w:after="0" w:line="240" w:lineRule="auto"/>
              <w:textAlignment w:val="baseline"/>
              <w:rPr>
                <w:rFonts w:ascii="Times New Roman" w:eastAsia="Times New Roman" w:hAnsi="Times New Roman" w:cs="Times New Roman"/>
                <w:sz w:val="24"/>
                <w:szCs w:val="24"/>
              </w:rPr>
            </w:pPr>
            <w:r w:rsidRPr="00614CF2">
              <w:rPr>
                <w:rFonts w:ascii="Calibri" w:eastAsia="Times New Roman" w:hAnsi="Calibri" w:cs="Calibri"/>
                <w:color w:val="000000"/>
              </w:rPr>
              <w:t>Too few respondents </w:t>
            </w:r>
          </w:p>
        </w:tc>
      </w:tr>
    </w:tbl>
    <w:p w14:paraId="21B9F942" w14:textId="77777777" w:rsidR="00C06637" w:rsidRPr="00614CF2" w:rsidRDefault="00C06637" w:rsidP="00C06637">
      <w:pPr>
        <w:spacing w:after="0" w:line="240" w:lineRule="auto"/>
        <w:textAlignment w:val="baseline"/>
        <w:rPr>
          <w:rFonts w:ascii="Segoe UI" w:eastAsia="Times New Roman" w:hAnsi="Segoe UI" w:cs="Segoe UI"/>
          <w:sz w:val="18"/>
          <w:szCs w:val="18"/>
        </w:rPr>
      </w:pPr>
    </w:p>
    <w:p w14:paraId="769C2B52" w14:textId="77777777" w:rsidR="00C06637" w:rsidRPr="00614CF2" w:rsidRDefault="00C06637" w:rsidP="00C06637">
      <w:pPr>
        <w:pStyle w:val="Heading1"/>
        <w:rPr>
          <w:rFonts w:ascii="Segoe UI" w:eastAsia="Times New Roman" w:hAnsi="Segoe UI" w:cs="Segoe UI"/>
          <w:sz w:val="18"/>
          <w:szCs w:val="18"/>
        </w:rPr>
      </w:pPr>
      <w:bookmarkStart w:id="40" w:name="_Toc143086313"/>
      <w:bookmarkStart w:id="41" w:name="_Toc151373120"/>
      <w:bookmarkStart w:id="42" w:name="_Toc155626827"/>
      <w:r w:rsidRPr="00614CF2">
        <w:rPr>
          <w:rFonts w:eastAsia="Times New Roman"/>
        </w:rPr>
        <w:t>Using the Data</w:t>
      </w:r>
      <w:bookmarkEnd w:id="40"/>
      <w:bookmarkEnd w:id="41"/>
      <w:bookmarkEnd w:id="42"/>
      <w:r w:rsidRPr="00614CF2">
        <w:rPr>
          <w:rFonts w:eastAsia="Times New Roman"/>
        </w:rPr>
        <w:t xml:space="preserve">  </w:t>
      </w:r>
    </w:p>
    <w:p w14:paraId="6036DA87" w14:textId="77777777" w:rsidR="00C06637" w:rsidRPr="00614CF2" w:rsidRDefault="00C06637" w:rsidP="00C06637">
      <w:pPr>
        <w:rPr>
          <w:rFonts w:ascii="Segoe UI" w:hAnsi="Segoe UI" w:cs="Segoe UI"/>
          <w:sz w:val="18"/>
          <w:szCs w:val="18"/>
        </w:rPr>
      </w:pPr>
      <w:bookmarkStart w:id="43" w:name="_Toc143086314"/>
      <w:r>
        <w:t>The following section provides information about how users can take information from the dashboard and apply it to their understanding and work. This section aims to provide resources for interpreting the data accurately with a racial and health equity lens, and with important background information about each of the topic areas related to PCEs and ACEs. Lastly, this section includes reflection questions to guide critical thinking about prevention and intervention strategies we can implement to ensure healthy outcomes for all Massachusetts (MA) residents.  </w:t>
      </w:r>
    </w:p>
    <w:p w14:paraId="336A630E" w14:textId="77777777" w:rsidR="00C06637" w:rsidRPr="00614CF2" w:rsidRDefault="00C06637" w:rsidP="00C06637">
      <w:pPr>
        <w:pStyle w:val="Heading2"/>
        <w:rPr>
          <w:rFonts w:ascii="Segoe UI" w:eastAsia="Times New Roman" w:hAnsi="Segoe UI" w:cs="Segoe UI"/>
          <w:sz w:val="18"/>
          <w:szCs w:val="18"/>
        </w:rPr>
      </w:pPr>
      <w:bookmarkStart w:id="44" w:name="_Toc151373121"/>
      <w:bookmarkStart w:id="45" w:name="_Toc155626828"/>
      <w:r w:rsidRPr="00614CF2">
        <w:rPr>
          <w:rFonts w:eastAsia="Times New Roman"/>
        </w:rPr>
        <w:lastRenderedPageBreak/>
        <w:t>Interpreting and Sharing the Data</w:t>
      </w:r>
      <w:bookmarkEnd w:id="43"/>
      <w:bookmarkEnd w:id="44"/>
      <w:bookmarkEnd w:id="45"/>
      <w:r w:rsidRPr="00614CF2">
        <w:rPr>
          <w:rFonts w:eastAsia="Times New Roman"/>
        </w:rPr>
        <w:t>  </w:t>
      </w:r>
    </w:p>
    <w:p w14:paraId="1366ED26" w14:textId="77777777" w:rsidR="00C06637" w:rsidRPr="00614CF2" w:rsidRDefault="00C06637" w:rsidP="00C06637">
      <w:pPr>
        <w:rPr>
          <w:rFonts w:ascii="Segoe UI" w:hAnsi="Segoe UI" w:cs="Segoe UI"/>
          <w:sz w:val="18"/>
          <w:szCs w:val="18"/>
        </w:rPr>
      </w:pPr>
      <w:r>
        <w:t>The goal of this dashboard is to allow users to view and interpret the data about PCEs and ACEs to better understand how Social Determinants of Health (</w:t>
      </w:r>
      <w:proofErr w:type="spellStart"/>
      <w:r>
        <w:t>SDoH</w:t>
      </w:r>
      <w:proofErr w:type="spellEnd"/>
      <w:r>
        <w:t xml:space="preserve">) and systemic inequities create conditions that unfairly increase ACEs and prevent PCEs among MA residents. Additionally, users of the dashboard can share the data with others to inform action, funding, and policies to reduce inequalities across the Commonwealth. As previously mentioned in the </w:t>
      </w:r>
      <w:hyperlink w:anchor="_About_the_Data_1">
        <w:r w:rsidRPr="30C0C148">
          <w:rPr>
            <w:rStyle w:val="Hyperlink"/>
          </w:rPr>
          <w:t>About the Data section</w:t>
        </w:r>
      </w:hyperlink>
      <w:r>
        <w:t>, most of the data presented in this dashboard are collected from samples of Massachusetts residents and weighted to make statements about population experiences in the Commonwealth.  </w:t>
      </w:r>
    </w:p>
    <w:p w14:paraId="6EA49535" w14:textId="77777777" w:rsidR="00C06637" w:rsidRPr="00614CF2" w:rsidRDefault="00C06637" w:rsidP="00C06637">
      <w:pPr>
        <w:rPr>
          <w:rFonts w:ascii="Segoe UI" w:hAnsi="Segoe UI" w:cs="Segoe UI"/>
          <w:sz w:val="18"/>
          <w:szCs w:val="18"/>
        </w:rPr>
      </w:pPr>
      <w:r w:rsidRPr="00614CF2">
        <w:t>The following components of the data should be included when sharing data from the dashboard:  </w:t>
      </w:r>
    </w:p>
    <w:p w14:paraId="3AFCFA41" w14:textId="77777777" w:rsidR="00C06637" w:rsidRDefault="00C06637" w:rsidP="00C06637">
      <w:pPr>
        <w:pStyle w:val="ListParagraph"/>
        <w:numPr>
          <w:ilvl w:val="0"/>
          <w:numId w:val="15"/>
        </w:numPr>
      </w:pPr>
      <w:r w:rsidRPr="00DD3308">
        <w:rPr>
          <w:b/>
          <w:bCs/>
        </w:rPr>
        <w:t>Survey year and survey</w:t>
      </w:r>
      <w:r w:rsidRPr="00614CF2">
        <w:t xml:space="preserve"> (e.g. 2021 Youth Health Survey- High School)</w:t>
      </w:r>
    </w:p>
    <w:p w14:paraId="16196DF3" w14:textId="77777777" w:rsidR="00C06637" w:rsidRDefault="00C06637" w:rsidP="00C06637">
      <w:pPr>
        <w:pStyle w:val="ListParagraph"/>
        <w:numPr>
          <w:ilvl w:val="1"/>
          <w:numId w:val="15"/>
        </w:numPr>
      </w:pPr>
      <w:r w:rsidRPr="00614CF2">
        <w:t xml:space="preserve">When reporting data from the Youth Risk Behavior Survey, it is helpful to mention it collects data from high school </w:t>
      </w:r>
      <w:proofErr w:type="gramStart"/>
      <w:r w:rsidRPr="00614CF2">
        <w:t>students</w:t>
      </w:r>
      <w:proofErr w:type="gramEnd"/>
      <w:r w:rsidRPr="00614CF2">
        <w:t> </w:t>
      </w:r>
    </w:p>
    <w:p w14:paraId="689BD10D" w14:textId="77777777" w:rsidR="00C06637" w:rsidRDefault="00C06637" w:rsidP="00C06637">
      <w:pPr>
        <w:pStyle w:val="ListParagraph"/>
        <w:numPr>
          <w:ilvl w:val="1"/>
          <w:numId w:val="15"/>
        </w:numPr>
      </w:pPr>
      <w:r w:rsidRPr="00614CF2">
        <w:t xml:space="preserve">When reporting data from the MA Youth Health Survey (YHS), be careful to identify if it is YHS high school or middle school </w:t>
      </w:r>
      <w:proofErr w:type="gramStart"/>
      <w:r w:rsidRPr="00614CF2">
        <w:t>data</w:t>
      </w:r>
      <w:proofErr w:type="gramEnd"/>
    </w:p>
    <w:p w14:paraId="3CAFCE64" w14:textId="77777777" w:rsidR="00C06637" w:rsidRDefault="00C06637" w:rsidP="00C06637">
      <w:pPr>
        <w:pStyle w:val="ListParagraph"/>
        <w:numPr>
          <w:ilvl w:val="1"/>
          <w:numId w:val="15"/>
        </w:numPr>
      </w:pPr>
      <w:r w:rsidRPr="00614CF2">
        <w:t xml:space="preserve">The year and survey information can be included in the body of a report or as a footnote, end note, or </w:t>
      </w:r>
      <w:proofErr w:type="gramStart"/>
      <w:r w:rsidRPr="00614CF2">
        <w:t>citation</w:t>
      </w:r>
      <w:proofErr w:type="gramEnd"/>
      <w:r w:rsidRPr="00614CF2">
        <w:t>  </w:t>
      </w:r>
    </w:p>
    <w:p w14:paraId="3F8DB708" w14:textId="77777777" w:rsidR="00C06637" w:rsidRDefault="00C06637" w:rsidP="00C06637">
      <w:pPr>
        <w:pStyle w:val="ListParagraph"/>
        <w:numPr>
          <w:ilvl w:val="0"/>
          <w:numId w:val="15"/>
        </w:numPr>
      </w:pPr>
      <w:r w:rsidRPr="00DD3308">
        <w:rPr>
          <w:b/>
          <w:bCs/>
        </w:rPr>
        <w:t>Population group/population</w:t>
      </w:r>
      <w:r w:rsidRPr="00614CF2">
        <w:t xml:space="preserve"> for the estimate you are using or reporting (e.g. overall, female, housing unstable, etc.) </w:t>
      </w:r>
    </w:p>
    <w:p w14:paraId="3AB38C8B" w14:textId="77777777" w:rsidR="00C06637" w:rsidRDefault="00C06637" w:rsidP="00C06637">
      <w:pPr>
        <w:pStyle w:val="ListParagraph"/>
        <w:numPr>
          <w:ilvl w:val="0"/>
          <w:numId w:val="15"/>
        </w:numPr>
      </w:pPr>
      <w:r w:rsidRPr="00614CF2">
        <w:t xml:space="preserve">The </w:t>
      </w:r>
      <w:r w:rsidRPr="00DD3308">
        <w:rPr>
          <w:b/>
          <w:bCs/>
        </w:rPr>
        <w:t>experience</w:t>
      </w:r>
      <w:r w:rsidRPr="00614CF2">
        <w:t xml:space="preserve"> </w:t>
      </w:r>
      <w:proofErr w:type="gramStart"/>
      <w:r w:rsidRPr="00614CF2">
        <w:t>measured</w:t>
      </w:r>
      <w:proofErr w:type="gramEnd"/>
      <w:r w:rsidRPr="00614CF2">
        <w:t> </w:t>
      </w:r>
    </w:p>
    <w:p w14:paraId="152373C9" w14:textId="77777777" w:rsidR="00C06637" w:rsidRDefault="00C06637" w:rsidP="00C06637">
      <w:pPr>
        <w:pStyle w:val="ListParagraph"/>
        <w:numPr>
          <w:ilvl w:val="1"/>
          <w:numId w:val="15"/>
        </w:numPr>
      </w:pPr>
      <w:r w:rsidRPr="00614CF2">
        <w:t xml:space="preserve">Can change wording to fit tense/sentence </w:t>
      </w:r>
      <w:proofErr w:type="gramStart"/>
      <w:r w:rsidRPr="00614CF2">
        <w:t>structure</w:t>
      </w:r>
      <w:proofErr w:type="gramEnd"/>
      <w:r w:rsidRPr="00614CF2">
        <w:t> </w:t>
      </w:r>
    </w:p>
    <w:p w14:paraId="0C1D9DD8" w14:textId="77777777" w:rsidR="00C06637" w:rsidRDefault="00C06637" w:rsidP="00C06637">
      <w:pPr>
        <w:pStyle w:val="ListParagraph"/>
        <w:numPr>
          <w:ilvl w:val="1"/>
          <w:numId w:val="15"/>
        </w:numPr>
      </w:pPr>
      <w:r w:rsidRPr="00614CF2">
        <w:t xml:space="preserve">Be sure to include the </w:t>
      </w:r>
      <w:r w:rsidRPr="00DD3308">
        <w:rPr>
          <w:b/>
          <w:bCs/>
        </w:rPr>
        <w:t>time frame</w:t>
      </w:r>
      <w:r w:rsidRPr="00614CF2">
        <w:t xml:space="preserve"> of the experience (ever, past year, past month, past week, etc.) </w:t>
      </w:r>
    </w:p>
    <w:p w14:paraId="673D274E" w14:textId="77777777" w:rsidR="00C06637" w:rsidRDefault="00C06637" w:rsidP="00C06637">
      <w:pPr>
        <w:pStyle w:val="ListParagraph"/>
        <w:numPr>
          <w:ilvl w:val="0"/>
          <w:numId w:val="15"/>
        </w:numPr>
      </w:pPr>
      <w:r w:rsidRPr="00614CF2">
        <w:t xml:space="preserve">The </w:t>
      </w:r>
      <w:r w:rsidRPr="00DD3308">
        <w:rPr>
          <w:b/>
          <w:bCs/>
        </w:rPr>
        <w:t>prevalence estimate</w:t>
      </w:r>
      <w:r w:rsidRPr="00614CF2">
        <w:t xml:space="preserve"> (that is, the estimated percentage of people reporting the experience, written as XX%) </w:t>
      </w:r>
    </w:p>
    <w:p w14:paraId="3019D240" w14:textId="77777777" w:rsidR="00C06637" w:rsidRDefault="00C06637" w:rsidP="00C06637">
      <w:pPr>
        <w:pStyle w:val="ListParagraph"/>
        <w:numPr>
          <w:ilvl w:val="0"/>
          <w:numId w:val="15"/>
        </w:numPr>
      </w:pPr>
      <w:r w:rsidRPr="00614CF2">
        <w:t xml:space="preserve">The </w:t>
      </w:r>
      <w:hyperlink w:anchor="_Confidence_Intervals" w:tgtFrame="_blank" w:history="1">
        <w:r w:rsidRPr="00DD3308">
          <w:rPr>
            <w:b/>
            <w:bCs/>
            <w:color w:val="0000FF"/>
            <w:u w:val="single"/>
          </w:rPr>
          <w:t>confidence interval</w:t>
        </w:r>
      </w:hyperlink>
      <w:r w:rsidRPr="00614CF2">
        <w:t xml:space="preserve"> (95% CI [lower] – [upper]) of the prevalence estimate </w:t>
      </w:r>
    </w:p>
    <w:p w14:paraId="69A39ED7" w14:textId="77777777" w:rsidR="00C06637" w:rsidRPr="00CC5F9B" w:rsidRDefault="00C06637" w:rsidP="00C06637">
      <w:pPr>
        <w:pStyle w:val="ListParagraph"/>
        <w:numPr>
          <w:ilvl w:val="0"/>
          <w:numId w:val="15"/>
        </w:numPr>
        <w:rPr>
          <w:b/>
          <w:bCs/>
        </w:rPr>
      </w:pPr>
      <w:r w:rsidRPr="00CD317C">
        <w:rPr>
          <w:b/>
          <w:bCs/>
        </w:rPr>
        <w:t xml:space="preserve">A racial justice and health equity lens </w:t>
      </w:r>
      <w:r w:rsidRPr="0045016B">
        <w:rPr>
          <w:i/>
          <w:iCs/>
        </w:rPr>
        <w:t>(see</w:t>
      </w:r>
      <w:r w:rsidRPr="0045016B">
        <w:rPr>
          <w:b/>
          <w:bCs/>
          <w:i/>
          <w:iCs/>
        </w:rPr>
        <w:t xml:space="preserve"> </w:t>
      </w:r>
      <w:hyperlink w:anchor="_Using_Racial_Justice" w:history="1">
        <w:r w:rsidRPr="00004EA5">
          <w:rPr>
            <w:rStyle w:val="Hyperlink"/>
            <w:rFonts w:ascii="Calibri" w:eastAsia="Times New Roman" w:hAnsi="Calibri" w:cs="Calibri"/>
            <w:i/>
            <w:iCs/>
          </w:rPr>
          <w:t>Using Racial Justice Reframing and Data-to-Action</w:t>
        </w:r>
      </w:hyperlink>
      <w:r w:rsidRPr="0045016B">
        <w:rPr>
          <w:rFonts w:ascii="Calibri" w:eastAsia="Times New Roman" w:hAnsi="Calibri" w:cs="Calibri"/>
          <w:i/>
          <w:iCs/>
        </w:rPr>
        <w:t xml:space="preserve"> section)</w:t>
      </w:r>
    </w:p>
    <w:p w14:paraId="451183C8" w14:textId="77777777" w:rsidR="00C06637" w:rsidRPr="007D16E7" w:rsidRDefault="00C06637" w:rsidP="00C06637">
      <w:pPr>
        <w:rPr>
          <w:rFonts w:ascii="Segoe UI" w:eastAsia="Times New Roman" w:hAnsi="Segoe UI" w:cs="Segoe UI"/>
          <w:sz w:val="18"/>
          <w:szCs w:val="18"/>
        </w:rPr>
      </w:pPr>
      <w:r w:rsidRPr="007D16E7">
        <w:rPr>
          <w:rFonts w:ascii="Calibri" w:eastAsia="Times New Roman" w:hAnsi="Calibri" w:cs="Calibri"/>
        </w:rPr>
        <w:t>Most of this information will be found in the drop-down options, the bar chart, and the tooltip of the dashboard. Supplemental information about how the responses were captured in the survey can be found in the</w:t>
      </w:r>
      <w:r>
        <w:rPr>
          <w:rFonts w:ascii="Calibri" w:eastAsia="Times New Roman" w:hAnsi="Calibri" w:cs="Calibri"/>
        </w:rPr>
        <w:t xml:space="preserve"> </w:t>
      </w:r>
      <w:hyperlink w:anchor="_Information_About_the" w:history="1">
        <w:r w:rsidRPr="00004EA5">
          <w:rPr>
            <w:rStyle w:val="Hyperlink"/>
            <w:rFonts w:ascii="Calibri" w:eastAsia="Times New Roman" w:hAnsi="Calibri" w:cs="Calibri"/>
          </w:rPr>
          <w:t>Information about the experiences</w:t>
        </w:r>
      </w:hyperlink>
      <w:r w:rsidRPr="007D16E7">
        <w:rPr>
          <w:rFonts w:ascii="Calibri" w:eastAsia="Times New Roman" w:hAnsi="Calibri" w:cs="Calibri"/>
        </w:rPr>
        <w:t xml:space="preserve"> sidebar and should be included in interpretations as well. For interpretations involving more than one data point, such as </w:t>
      </w:r>
      <w:proofErr w:type="gramStart"/>
      <w:r w:rsidRPr="007D16E7">
        <w:rPr>
          <w:rFonts w:ascii="Calibri" w:eastAsia="Times New Roman" w:hAnsi="Calibri" w:cs="Calibri"/>
        </w:rPr>
        <w:t>to compare between</w:t>
      </w:r>
      <w:proofErr w:type="gramEnd"/>
      <w:r w:rsidRPr="007D16E7">
        <w:rPr>
          <w:rFonts w:ascii="Calibri" w:eastAsia="Times New Roman" w:hAnsi="Calibri" w:cs="Calibri"/>
        </w:rPr>
        <w:t xml:space="preserve"> populations or experiences, be sure to include all data components for each point.  See </w:t>
      </w:r>
      <w:hyperlink w:anchor="_Using_Racial_Justice" w:history="1">
        <w:r w:rsidRPr="00EC18F8">
          <w:rPr>
            <w:rStyle w:val="Hyperlink"/>
            <w:rFonts w:ascii="Calibri" w:eastAsia="Times New Roman" w:hAnsi="Calibri" w:cs="Calibri"/>
          </w:rPr>
          <w:t>Using Racial Justice Reframing and Data-to-Action</w:t>
        </w:r>
      </w:hyperlink>
      <w:r>
        <w:rPr>
          <w:rFonts w:ascii="Calibri" w:eastAsia="Times New Roman" w:hAnsi="Calibri" w:cs="Calibri"/>
        </w:rPr>
        <w:t xml:space="preserve"> </w:t>
      </w:r>
      <w:r w:rsidRPr="007D16E7">
        <w:rPr>
          <w:rFonts w:ascii="Calibri" w:eastAsia="Times New Roman" w:hAnsi="Calibri" w:cs="Calibri"/>
        </w:rPr>
        <w:t xml:space="preserve">to support using a racial justice and health equity lens to interpret this data and inform action. </w:t>
      </w:r>
    </w:p>
    <w:p w14:paraId="4BF97C27" w14:textId="77777777" w:rsidR="00C06637" w:rsidRDefault="00C06637" w:rsidP="00C06637">
      <w:pPr>
        <w:pStyle w:val="Heading4"/>
      </w:pPr>
      <w:r w:rsidRPr="00AA0FB0">
        <w:lastRenderedPageBreak/>
        <w:t>Example Interpretations </w:t>
      </w:r>
    </w:p>
    <w:p w14:paraId="3D1CBE9B" w14:textId="77777777" w:rsidR="00C06637" w:rsidRPr="00AA0FB0" w:rsidRDefault="00C06637" w:rsidP="00C06637">
      <w:pPr>
        <w:jc w:val="center"/>
      </w:pPr>
      <w:r>
        <w:rPr>
          <w:noProof/>
        </w:rPr>
        <w:drawing>
          <wp:inline distT="0" distB="0" distL="0" distR="0" wp14:anchorId="1D349144" wp14:editId="04B5AFFB">
            <wp:extent cx="2494280" cy="1795145"/>
            <wp:effectExtent l="0" t="0" r="1270" b="0"/>
            <wp:docPr id="33" name="Picture 33" descr="An image of the ACEs and PCEs dashboard showing the tooltip, which includes information about 'Experience,' 'Topic,' Population Group,' 'Population,' 'Percent Reporting the Experience,' 'Sample Size,' Lower Confidence Level of Percent,' and 'Upper Confidence Level of Percent' for Females., representing example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 image of the ACEs and PCEs dashboard showing the tooltip, which includes information about 'Experience,' 'Topic,' Population Group,' 'Population,' 'Percent Reporting the Experience,' 'Sample Size,' Lower Confidence Level of Percent,' and 'Upper Confidence Level of Percent' for Females., representing example one. "/>
                    <pic:cNvPicPr/>
                  </pic:nvPicPr>
                  <pic:blipFill>
                    <a:blip r:embed="rId51">
                      <a:extLst>
                        <a:ext uri="{28A0092B-C50C-407E-A947-70E740481C1C}">
                          <a14:useLocalDpi xmlns:a14="http://schemas.microsoft.com/office/drawing/2010/main" val="0"/>
                        </a:ext>
                      </a:extLst>
                    </a:blip>
                    <a:stretch>
                      <a:fillRect/>
                    </a:stretch>
                  </pic:blipFill>
                  <pic:spPr>
                    <a:xfrm>
                      <a:off x="0" y="0"/>
                      <a:ext cx="2494280" cy="1795145"/>
                    </a:xfrm>
                    <a:prstGeom prst="rect">
                      <a:avLst/>
                    </a:prstGeom>
                  </pic:spPr>
                </pic:pic>
              </a:graphicData>
            </a:graphic>
          </wp:inline>
        </w:drawing>
      </w:r>
    </w:p>
    <w:p w14:paraId="12C9235E" w14:textId="77777777" w:rsidR="00C06637" w:rsidRPr="00614CF2" w:rsidRDefault="00C06637" w:rsidP="00C06637">
      <w:pPr>
        <w:pStyle w:val="Heading4"/>
        <w:rPr>
          <w:rFonts w:ascii="Segoe UI" w:eastAsia="Times New Roman" w:hAnsi="Segoe UI" w:cs="Segoe UI"/>
          <w:sz w:val="18"/>
          <w:szCs w:val="18"/>
        </w:rPr>
      </w:pPr>
      <w:r w:rsidRPr="00614CF2">
        <w:rPr>
          <w:rFonts w:eastAsia="Times New Roman"/>
        </w:rPr>
        <w:t>Example 1: Single Interpretation</w:t>
      </w:r>
      <w:r>
        <w:rPr>
          <w:rFonts w:eastAsia="Times New Roman"/>
        </w:rPr>
        <w:t xml:space="preserve"> Options </w:t>
      </w:r>
    </w:p>
    <w:p w14:paraId="495E8592" w14:textId="77777777" w:rsidR="00C06637" w:rsidRPr="00614CF2" w:rsidRDefault="00C06637" w:rsidP="00C06637">
      <w:pPr>
        <w:pStyle w:val="ListParagraph"/>
        <w:numPr>
          <w:ilvl w:val="0"/>
          <w:numId w:val="20"/>
        </w:numPr>
      </w:pPr>
      <w:r w:rsidRPr="00614CF2">
        <w:t>Among female high school students, 66.7% (95% CI: 60.9% - 72.5%) participated in organized activities within the past week (2021 MA Youth Health Survey- High School).  </w:t>
      </w:r>
    </w:p>
    <w:p w14:paraId="4A370343" w14:textId="77777777" w:rsidR="00C06637" w:rsidRPr="00614CF2" w:rsidRDefault="00C06637" w:rsidP="00C06637">
      <w:pPr>
        <w:pStyle w:val="ListParagraph"/>
        <w:numPr>
          <w:ilvl w:val="0"/>
          <w:numId w:val="20"/>
        </w:numPr>
      </w:pPr>
      <w:r w:rsidRPr="00614CF2">
        <w:t>Sixty-seven percent of female high school students reported participating in organized activities within the past week (95% CI: 60.9% - 72.5%; survey source: 2021 MA Youth Health Survey- High School). </w:t>
      </w:r>
    </w:p>
    <w:p w14:paraId="3B84F748" w14:textId="77777777" w:rsidR="00C06637" w:rsidRDefault="00C06637" w:rsidP="00C06637">
      <w:pPr>
        <w:pStyle w:val="ListParagraph"/>
        <w:numPr>
          <w:ilvl w:val="0"/>
          <w:numId w:val="20"/>
        </w:numPr>
      </w:pPr>
      <w:r w:rsidRPr="00614CF2">
        <w:t>In 2021, 66.7% of Massachusetts female high school students reported participating in organized activities within the past week (95% CI 60.9%-72.5%)</w:t>
      </w:r>
      <w:r>
        <w:t>.</w:t>
      </w:r>
      <w:r>
        <w:rPr>
          <w:rStyle w:val="FootnoteReference"/>
        </w:rPr>
        <w:footnoteReference w:id="2"/>
      </w:r>
    </w:p>
    <w:p w14:paraId="770F6C1B" w14:textId="77777777" w:rsidR="00C06637" w:rsidRPr="00614CF2" w:rsidRDefault="00C06637" w:rsidP="00C06637">
      <w:pPr>
        <w:ind w:left="360"/>
        <w:jc w:val="center"/>
      </w:pPr>
      <w:r>
        <w:rPr>
          <w:noProof/>
        </w:rPr>
        <w:drawing>
          <wp:inline distT="0" distB="0" distL="0" distR="0" wp14:anchorId="492CD9BB" wp14:editId="58A9BD33">
            <wp:extent cx="2550079" cy="1270000"/>
            <wp:effectExtent l="0" t="0" r="3175" b="6350"/>
            <wp:docPr id="34" name="Picture 34" descr="An image of the ACEs and PCEs dashboard  showing the tooltip, which includes information about 'Experience,' 'Topic,' Population Group,' 'Population,' 'Percent Reporting the Experience,' 'Sample Size,' Lower Confidence Level of Percent,' and 'Upper Confidence Level of Percent' for Males  with the same experience as example 1, representing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n image of the ACEs and PCEs dashboard  showing the tooltip, which includes information about 'Experience,' 'Topic,' Population Group,' 'Population,' 'Percent Reporting the Experience,' 'Sample Size,' Lower Confidence Level of Percent,' and 'Upper Confidence Level of Percent' for Males  with the same experience as example 1, representing example 2."/>
                    <pic:cNvPicPr/>
                  </pic:nvPicPr>
                  <pic:blipFill>
                    <a:blip r:embed="rId52">
                      <a:extLst>
                        <a:ext uri="{28A0092B-C50C-407E-A947-70E740481C1C}">
                          <a14:useLocalDpi xmlns:a14="http://schemas.microsoft.com/office/drawing/2010/main" val="0"/>
                        </a:ext>
                      </a:extLst>
                    </a:blip>
                    <a:stretch>
                      <a:fillRect/>
                    </a:stretch>
                  </pic:blipFill>
                  <pic:spPr>
                    <a:xfrm>
                      <a:off x="0" y="0"/>
                      <a:ext cx="2550079" cy="1270000"/>
                    </a:xfrm>
                    <a:prstGeom prst="rect">
                      <a:avLst/>
                    </a:prstGeom>
                  </pic:spPr>
                </pic:pic>
              </a:graphicData>
            </a:graphic>
          </wp:inline>
        </w:drawing>
      </w:r>
    </w:p>
    <w:p w14:paraId="25B337AE" w14:textId="77777777" w:rsidR="00C06637" w:rsidRPr="00614CF2" w:rsidRDefault="00C06637" w:rsidP="00C06637">
      <w:pPr>
        <w:pStyle w:val="Heading4"/>
        <w:rPr>
          <w:rFonts w:ascii="Segoe UI" w:eastAsia="Times New Roman" w:hAnsi="Segoe UI" w:cs="Segoe UI"/>
          <w:sz w:val="18"/>
          <w:szCs w:val="18"/>
        </w:rPr>
      </w:pPr>
      <w:r w:rsidRPr="00614CF2">
        <w:rPr>
          <w:rFonts w:eastAsia="Times New Roman"/>
        </w:rPr>
        <w:t>Example 2: Comparison Interpretation (same experience) </w:t>
      </w:r>
      <w:r>
        <w:rPr>
          <w:rFonts w:eastAsia="Times New Roman"/>
        </w:rPr>
        <w:t>Options</w:t>
      </w:r>
    </w:p>
    <w:p w14:paraId="676BC907" w14:textId="77777777" w:rsidR="00C06637" w:rsidRPr="00614CF2" w:rsidRDefault="00C06637" w:rsidP="00C06637">
      <w:pPr>
        <w:pStyle w:val="ListParagraph"/>
        <w:numPr>
          <w:ilvl w:val="0"/>
          <w:numId w:val="19"/>
        </w:numPr>
      </w:pPr>
      <w:r w:rsidRPr="00614CF2">
        <w:t>Among Massachusetts female high school students, 66.7% (95% CI: 60.9% - 72.5%) participated in organized activities within the past week</w:t>
      </w:r>
      <w:r>
        <w:t>, while</w:t>
      </w:r>
      <w:r w:rsidRPr="00614CF2">
        <w:t xml:space="preserve"> 62.8% (95% CI 58.5% - 67.1%) of male high school students </w:t>
      </w:r>
      <w:r>
        <w:t xml:space="preserve">participated in organized activities within the past week </w:t>
      </w:r>
      <w:r w:rsidRPr="00614CF2">
        <w:t>(survey source: 2021 Youth Health Survey- High School).  </w:t>
      </w:r>
    </w:p>
    <w:p w14:paraId="2D0C01F0" w14:textId="77777777" w:rsidR="00C06637" w:rsidRDefault="00C06637" w:rsidP="00C06637">
      <w:pPr>
        <w:pStyle w:val="ListParagraph"/>
        <w:numPr>
          <w:ilvl w:val="0"/>
          <w:numId w:val="19"/>
        </w:numPr>
      </w:pPr>
      <w:r w:rsidRPr="00614CF2">
        <w:t>In 2021, 66.7% and 62.8% of female and male high school students, respectively, reported participating in organized activities within the past week (Female: 95% CI 60.9%-72.5%, Male: 95% CI 58.5% - 67.1%)</w:t>
      </w:r>
      <w:r>
        <w:t>.</w:t>
      </w:r>
      <w:r>
        <w:rPr>
          <w:rStyle w:val="FootnoteReference"/>
        </w:rPr>
        <w:footnoteReference w:id="3"/>
      </w:r>
      <w:r w:rsidRPr="00614CF2">
        <w:t> </w:t>
      </w:r>
    </w:p>
    <w:p w14:paraId="40B31959" w14:textId="77777777" w:rsidR="00C06637" w:rsidRPr="00614CF2" w:rsidRDefault="00C06637" w:rsidP="00C06637">
      <w:pPr>
        <w:jc w:val="center"/>
      </w:pPr>
      <w:r>
        <w:rPr>
          <w:noProof/>
        </w:rPr>
        <w:lastRenderedPageBreak/>
        <w:drawing>
          <wp:inline distT="0" distB="0" distL="0" distR="0" wp14:anchorId="02CC4305" wp14:editId="7133C319">
            <wp:extent cx="5943600" cy="1177290"/>
            <wp:effectExtent l="0" t="0" r="0" b="3810"/>
            <wp:docPr id="35" name="Picture 35" descr="An image of the ACEs and PCEs dashboard  showing the tooltip, which includes information about 'Experience,' 'Topic,' Population Group,' 'Population,' 'Percent Reporting the Experience,' 'Sample Size,' Lower Confidence Level of Percent,' and 'Upper Confidence Level of Percent' for the 'Overall' population representing the 'Male' and 'Female' populations with the same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n image of the ACEs and PCEs dashboard  showing the tooltip, which includes information about 'Experience,' 'Topic,' Population Group,' 'Population,' 'Percent Reporting the Experience,' 'Sample Size,' Lower Confidence Level of Percent,' and 'Upper Confidence Level of Percent' for the 'Overall' population representing the 'Male' and 'Female' populations with the same experience."/>
                    <pic:cNvPicPr/>
                  </pic:nvPicPr>
                  <pic:blipFill>
                    <a:blip r:embed="rId53">
                      <a:extLst>
                        <a:ext uri="{28A0092B-C50C-407E-A947-70E740481C1C}">
                          <a14:useLocalDpi xmlns:a14="http://schemas.microsoft.com/office/drawing/2010/main" val="0"/>
                        </a:ext>
                      </a:extLst>
                    </a:blip>
                    <a:stretch>
                      <a:fillRect/>
                    </a:stretch>
                  </pic:blipFill>
                  <pic:spPr>
                    <a:xfrm>
                      <a:off x="0" y="0"/>
                      <a:ext cx="5943600" cy="1177290"/>
                    </a:xfrm>
                    <a:prstGeom prst="rect">
                      <a:avLst/>
                    </a:prstGeom>
                  </pic:spPr>
                </pic:pic>
              </a:graphicData>
            </a:graphic>
          </wp:inline>
        </w:drawing>
      </w:r>
    </w:p>
    <w:p w14:paraId="31E037E9" w14:textId="77777777" w:rsidR="00C06637" w:rsidRPr="00614CF2" w:rsidRDefault="00C06637" w:rsidP="00C06637">
      <w:pPr>
        <w:pStyle w:val="Heading4"/>
        <w:rPr>
          <w:rFonts w:ascii="Segoe UI" w:eastAsia="Times New Roman" w:hAnsi="Segoe UI" w:cs="Segoe UI"/>
          <w:sz w:val="18"/>
          <w:szCs w:val="18"/>
        </w:rPr>
      </w:pPr>
      <w:r w:rsidRPr="00614CF2">
        <w:rPr>
          <w:rFonts w:eastAsia="Times New Roman"/>
        </w:rPr>
        <w:t>Example 3: Comparison Interpretation (same experience + overall) </w:t>
      </w:r>
      <w:r>
        <w:rPr>
          <w:rFonts w:eastAsia="Times New Roman"/>
        </w:rPr>
        <w:t>Options</w:t>
      </w:r>
    </w:p>
    <w:p w14:paraId="01CDB18D" w14:textId="77777777" w:rsidR="00C06637" w:rsidRPr="00AA0FB0" w:rsidRDefault="00C06637" w:rsidP="00C06637">
      <w:pPr>
        <w:pStyle w:val="ListParagraph"/>
        <w:numPr>
          <w:ilvl w:val="0"/>
          <w:numId w:val="18"/>
        </w:numPr>
        <w:rPr>
          <w:rFonts w:ascii="Calibri Light" w:hAnsi="Calibri Light" w:cs="Calibri Light"/>
          <w:sz w:val="26"/>
          <w:szCs w:val="26"/>
        </w:rPr>
      </w:pPr>
      <w:r w:rsidRPr="00614CF2">
        <w:t>Overall, in 2021, 64.5% of high school students reported participating in organized activities in the past week. Grouped by reported sex, 66.7% of females and 62.5% of males reported this experience (Female: 95% CI 60.9%-72.5%, Male: 95% CI 58.5% - 67.1%; MA Youth Health Survey- High School). </w:t>
      </w:r>
    </w:p>
    <w:p w14:paraId="4B2121C6" w14:textId="77777777" w:rsidR="00C06637" w:rsidRPr="00024D9D" w:rsidRDefault="00C06637" w:rsidP="00C06637">
      <w:pPr>
        <w:pStyle w:val="ListParagraph"/>
        <w:numPr>
          <w:ilvl w:val="1"/>
          <w:numId w:val="18"/>
        </w:numPr>
        <w:rPr>
          <w:rFonts w:ascii="Calibri Light" w:hAnsi="Calibri Light" w:cs="Calibri Light"/>
          <w:sz w:val="26"/>
          <w:szCs w:val="26"/>
        </w:rPr>
      </w:pPr>
      <w:r w:rsidRPr="00AA0FB0">
        <w:rPr>
          <w:i/>
          <w:iCs/>
        </w:rPr>
        <w:t xml:space="preserve">Due to the overlapping confidence intervals, it cannot be assumed that female high school students participate in organized activities in the past week more than male high school </w:t>
      </w:r>
      <w:proofErr w:type="gramStart"/>
      <w:r w:rsidRPr="00AA0FB0">
        <w:rPr>
          <w:i/>
          <w:iCs/>
        </w:rPr>
        <w:t>students</w:t>
      </w:r>
      <w:proofErr w:type="gramEnd"/>
      <w:r w:rsidRPr="00614CF2">
        <w:t> </w:t>
      </w:r>
    </w:p>
    <w:p w14:paraId="51198192" w14:textId="77777777" w:rsidR="00C06637" w:rsidRDefault="00C06637" w:rsidP="00C06637">
      <w:pPr>
        <w:pStyle w:val="ListParagraph"/>
      </w:pPr>
    </w:p>
    <w:p w14:paraId="5A8CAA4F" w14:textId="77777777" w:rsidR="00C06637" w:rsidRPr="00AD2B59" w:rsidRDefault="00C06637" w:rsidP="00C06637">
      <w:pPr>
        <w:rPr>
          <w:rFonts w:ascii="Calibri Light" w:hAnsi="Calibri Light" w:cs="Calibri Light"/>
          <w:sz w:val="26"/>
          <w:szCs w:val="26"/>
        </w:rPr>
      </w:pPr>
      <w:r>
        <w:rPr>
          <w:noProof/>
        </w:rPr>
        <w:drawing>
          <wp:inline distT="0" distB="0" distL="0" distR="0" wp14:anchorId="69D07D55" wp14:editId="7E652255">
            <wp:extent cx="5943600" cy="1723390"/>
            <wp:effectExtent l="0" t="0" r="0" b="0"/>
            <wp:docPr id="36" name="Picture 36" descr="An image of the ACEs and PCEs dashboard showing differences in the distirbution of having experienced a particular experience between the 'Overall,' 'Male,' and 'Female'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n image of the ACEs and PCEs dashboard showing differences in the distirbution of having experienced a particular experience between the 'Overall,' 'Male,' and 'Female' populations."/>
                    <pic:cNvPicPr/>
                  </pic:nvPicPr>
                  <pic:blipFill>
                    <a:blip r:embed="rId54">
                      <a:extLst>
                        <a:ext uri="{28A0092B-C50C-407E-A947-70E740481C1C}">
                          <a14:useLocalDpi xmlns:a14="http://schemas.microsoft.com/office/drawing/2010/main" val="0"/>
                        </a:ext>
                      </a:extLst>
                    </a:blip>
                    <a:stretch>
                      <a:fillRect/>
                    </a:stretch>
                  </pic:blipFill>
                  <pic:spPr>
                    <a:xfrm>
                      <a:off x="0" y="0"/>
                      <a:ext cx="5943600" cy="1723390"/>
                    </a:xfrm>
                    <a:prstGeom prst="rect">
                      <a:avLst/>
                    </a:prstGeom>
                  </pic:spPr>
                </pic:pic>
              </a:graphicData>
            </a:graphic>
          </wp:inline>
        </w:drawing>
      </w:r>
    </w:p>
    <w:p w14:paraId="616E8498" w14:textId="77777777" w:rsidR="00C06637" w:rsidRPr="00614CF2" w:rsidRDefault="00C06637" w:rsidP="00C06637">
      <w:pPr>
        <w:pStyle w:val="Heading4"/>
        <w:rPr>
          <w:rFonts w:ascii="Segoe UI" w:eastAsia="Times New Roman" w:hAnsi="Segoe UI" w:cs="Segoe UI"/>
          <w:sz w:val="18"/>
          <w:szCs w:val="18"/>
        </w:rPr>
      </w:pPr>
      <w:r w:rsidRPr="00614CF2">
        <w:rPr>
          <w:rFonts w:eastAsia="Times New Roman"/>
        </w:rPr>
        <w:t>Example 4: Comparison Interpretation (different experiences) </w:t>
      </w:r>
      <w:r>
        <w:rPr>
          <w:rFonts w:eastAsia="Times New Roman"/>
        </w:rPr>
        <w:t>Options</w:t>
      </w:r>
    </w:p>
    <w:p w14:paraId="67E1AAA3" w14:textId="77777777" w:rsidR="00C06637" w:rsidRPr="00060E95" w:rsidRDefault="00C06637" w:rsidP="00C06637">
      <w:pPr>
        <w:pStyle w:val="ListParagraph"/>
        <w:numPr>
          <w:ilvl w:val="0"/>
          <w:numId w:val="17"/>
        </w:numPr>
        <w:rPr>
          <w:rFonts w:ascii="Calibri Light" w:hAnsi="Calibri Light" w:cs="Calibri Light"/>
          <w:sz w:val="26"/>
          <w:szCs w:val="26"/>
        </w:rPr>
      </w:pPr>
      <w:r w:rsidRPr="00614CF2">
        <w:t>In 2021, 64.5% (95% CI 59.9% - 69.2%) and 34.7% (95% CI 31.3% - 38.1%) of Massachusetts high school students reported past week participation in organized activities and volunteer work, respectively.</w:t>
      </w:r>
      <w:r>
        <w:rPr>
          <w:rStyle w:val="FootnoteReference"/>
        </w:rPr>
        <w:footnoteReference w:id="4"/>
      </w:r>
      <w:r w:rsidRPr="00614CF2">
        <w:t xml:space="preserve"> Also</w:t>
      </w:r>
      <w:r w:rsidRPr="00CF4C8B">
        <w:t>, 66.7% (95% CI 60.9% - 72.5%) and 38.7% (95% CI 33.9% - 43.5%) of female high school students reported past week participation in organized</w:t>
      </w:r>
      <w:r w:rsidRPr="00614CF2">
        <w:t xml:space="preserve"> activities and volunteer work. For male high school students, 62.8% (</w:t>
      </w:r>
      <w:r>
        <w:t>95% 58.5% - 67.1%</w:t>
      </w:r>
      <w:r w:rsidRPr="00614CF2">
        <w:t>) and 31.0% (</w:t>
      </w:r>
      <w:r>
        <w:t>95% CI 27.5% - 34.5%</w:t>
      </w:r>
      <w:r w:rsidRPr="00614CF2">
        <w:t>) of students participated in organized activities and volunteer work, respectively. </w:t>
      </w:r>
    </w:p>
    <w:p w14:paraId="575C0CE0" w14:textId="77777777" w:rsidR="00C06637" w:rsidRDefault="00C06637" w:rsidP="00C06637">
      <w:pPr>
        <w:rPr>
          <w:b/>
          <w:bCs/>
        </w:rPr>
      </w:pPr>
      <w:bookmarkStart w:id="46" w:name="_Toc143086315"/>
      <w:r w:rsidRPr="00517CBB">
        <w:rPr>
          <w:b/>
          <w:bCs/>
        </w:rPr>
        <w:t xml:space="preserve">The examples provided above are not inclusive of every way to report this data and do not include additional racial and health equity context, but they do incorporate important components necessary to contextualize the data points. The following section will support users in interpreting and using this data to inform action with a racial and health equity lens. </w:t>
      </w:r>
    </w:p>
    <w:p w14:paraId="0166C92B" w14:textId="77777777" w:rsidR="00C06637" w:rsidRPr="00C00328" w:rsidRDefault="00C06637" w:rsidP="00C06637">
      <w:pPr>
        <w:pStyle w:val="Heading2"/>
        <w:rPr>
          <w:rFonts w:cstheme="majorHAnsi"/>
          <w:sz w:val="22"/>
          <w:szCs w:val="22"/>
        </w:rPr>
      </w:pPr>
      <w:bookmarkStart w:id="47" w:name="_Using_Racial_Justice"/>
      <w:bookmarkStart w:id="48" w:name="_Toc151373122"/>
      <w:bookmarkStart w:id="49" w:name="_Toc155626829"/>
      <w:bookmarkEnd w:id="47"/>
      <w:r w:rsidRPr="00C00328">
        <w:rPr>
          <w:rFonts w:cstheme="majorHAnsi"/>
          <w:sz w:val="22"/>
          <w:szCs w:val="22"/>
        </w:rPr>
        <w:t>Using Racial Justice Reframing and Data-to-Action</w:t>
      </w:r>
      <w:bookmarkEnd w:id="49"/>
      <w:r w:rsidRPr="00C00328">
        <w:rPr>
          <w:rFonts w:cstheme="majorHAnsi"/>
          <w:sz w:val="22"/>
          <w:szCs w:val="22"/>
        </w:rPr>
        <w:t xml:space="preserve"> </w:t>
      </w:r>
      <w:bookmarkEnd w:id="48"/>
    </w:p>
    <w:p w14:paraId="5F40174A" w14:textId="77777777" w:rsidR="00C06637" w:rsidRPr="00C00328" w:rsidRDefault="00C06637" w:rsidP="00C06637">
      <w:pPr>
        <w:rPr>
          <w:rFonts w:asciiTheme="majorHAnsi" w:hAnsiTheme="majorHAnsi" w:cstheme="majorBidi"/>
        </w:rPr>
      </w:pPr>
      <w:r w:rsidRPr="30C0C148">
        <w:rPr>
          <w:rFonts w:asciiTheme="majorHAnsi" w:hAnsiTheme="majorHAnsi" w:cstheme="majorBidi"/>
        </w:rPr>
        <w:t xml:space="preserve">The following section is adapted from materials developed by the COVID Community Impact Survey team at Massachusetts Department of Public Health (link to abbreviated slides). </w:t>
      </w:r>
    </w:p>
    <w:p w14:paraId="38CA5337" w14:textId="77777777" w:rsidR="00C06637" w:rsidRPr="00C00328" w:rsidRDefault="00C06637" w:rsidP="00C06637">
      <w:pPr>
        <w:pStyle w:val="Heading3"/>
        <w:rPr>
          <w:rFonts w:cstheme="majorHAnsi"/>
          <w:sz w:val="22"/>
          <w:szCs w:val="22"/>
        </w:rPr>
      </w:pPr>
      <w:r w:rsidRPr="00C00328">
        <w:rPr>
          <w:rFonts w:cstheme="majorHAnsi"/>
          <w:sz w:val="22"/>
          <w:szCs w:val="22"/>
        </w:rPr>
        <w:lastRenderedPageBreak/>
        <w:t>What is racial justice reframing?</w:t>
      </w:r>
    </w:p>
    <w:p w14:paraId="44E74869" w14:textId="77777777" w:rsidR="00C06637" w:rsidRPr="00C00328" w:rsidRDefault="00C06637" w:rsidP="00C06637">
      <w:pPr>
        <w:spacing w:line="240" w:lineRule="auto"/>
        <w:ind w:left="720"/>
        <w:rPr>
          <w:rFonts w:asciiTheme="majorHAnsi" w:hAnsiTheme="majorHAnsi" w:cstheme="majorHAnsi"/>
        </w:rPr>
      </w:pPr>
      <w:r w:rsidRPr="00C00328">
        <w:rPr>
          <w:rFonts w:asciiTheme="majorHAnsi" w:hAnsiTheme="majorHAnsi" w:cstheme="majorHAnsi"/>
          <w:i/>
          <w:iCs/>
        </w:rPr>
        <w:t xml:space="preserve">“Frames are mental structures that shape the way we see the world. As a result, they shape the goals we seek, the plans we make, the way we act, and what counts as a good or bad outcome of our actions… frames shape our social policies and the institutions we form to carry out policies.” </w:t>
      </w:r>
      <w:r w:rsidRPr="00C00328">
        <w:rPr>
          <w:rFonts w:asciiTheme="majorHAnsi" w:hAnsiTheme="majorHAnsi" w:cstheme="majorHAnsi"/>
        </w:rPr>
        <w:t xml:space="preserve">– George Lakoff </w:t>
      </w:r>
    </w:p>
    <w:p w14:paraId="77D1BF67" w14:textId="77777777" w:rsidR="00C06637" w:rsidRPr="00C00328" w:rsidRDefault="00C06637" w:rsidP="00C06637">
      <w:pPr>
        <w:rPr>
          <w:rFonts w:asciiTheme="majorHAnsi" w:hAnsiTheme="majorHAnsi" w:cstheme="majorHAnsi"/>
        </w:rPr>
      </w:pPr>
      <w:r w:rsidRPr="00C00328">
        <w:rPr>
          <w:rFonts w:asciiTheme="majorHAnsi" w:hAnsiTheme="majorHAnsi" w:cstheme="majorHAnsi"/>
        </w:rPr>
        <w:t xml:space="preserve">In society, dominant frames are ideas, attitudes, and beliefs that are shared collectively and evoke certain standards, values, and morals that are reinforced and continued throughout society and across time. Framing is important to how we perceive information and make meaning, and it is used in different aspects of communication- such as media, marketing, news reporting, and campaigns. Frames influence our own implicit or unconscious biases- the stereotypes and attitudes we hold that we are not fully aware of (see examples of frames on slides 29 and 30 of the CCIS resource). </w:t>
      </w:r>
    </w:p>
    <w:p w14:paraId="44A8DBC3" w14:textId="77777777" w:rsidR="00C06637" w:rsidRPr="00C00328" w:rsidRDefault="00C06637" w:rsidP="00C06637">
      <w:pPr>
        <w:rPr>
          <w:rFonts w:asciiTheme="majorHAnsi" w:hAnsiTheme="majorHAnsi" w:cstheme="majorBidi"/>
        </w:rPr>
      </w:pPr>
      <w:r w:rsidRPr="30C0C148">
        <w:rPr>
          <w:rFonts w:asciiTheme="majorHAnsi" w:hAnsiTheme="majorHAnsi" w:cstheme="majorBidi"/>
        </w:rPr>
        <w:t>A common example of a dominant and commonly used frame and resulting implicit bias is the “bootstrapping theory.” This theory comes from the phrase “pull yourself up by your bootstraps” which implies that someone can only improve an individual situation through hard work without outside support. Our history of systemic racism and other institutionalized forms of injustice still actively harm members of some population groups and make it more difficult for them to help themselves compared to others. Bootstrapping theory takes the focus away from unfair laws and policies and blames their victims. This contributes to unfair judgements, or “implicit biases” against those facing discrimination and in need of outside support as being not working hard, lazy, or too dependent. Using this theory actively takes away from an individual, family, or community’s agency to help themselves, and instead actively disadvantages them.</w:t>
      </w:r>
    </w:p>
    <w:p w14:paraId="1D039FBC" w14:textId="77777777" w:rsidR="00C06637" w:rsidRPr="00C00328" w:rsidRDefault="00C06637" w:rsidP="00C06637">
      <w:pPr>
        <w:rPr>
          <w:rFonts w:asciiTheme="majorHAnsi" w:hAnsiTheme="majorHAnsi" w:cstheme="majorHAnsi"/>
        </w:rPr>
      </w:pPr>
      <w:r w:rsidRPr="00C00328">
        <w:rPr>
          <w:rFonts w:asciiTheme="majorHAnsi" w:hAnsiTheme="majorHAnsi" w:cstheme="majorHAnsi"/>
        </w:rPr>
        <w:t xml:space="preserve">When we use racial justice and health equity reframing, we work to focus our attention on the root causes of health disparities instead of focusing on individual behavior, lifestyle, and personal responsibility. Root causes of health disparities can come from systemic racism and other </w:t>
      </w:r>
      <w:proofErr w:type="spellStart"/>
      <w:r w:rsidRPr="00C00328">
        <w:rPr>
          <w:rFonts w:asciiTheme="majorHAnsi" w:hAnsiTheme="majorHAnsi" w:cstheme="majorHAnsi"/>
        </w:rPr>
        <w:t>SDoH</w:t>
      </w:r>
      <w:proofErr w:type="spellEnd"/>
      <w:r w:rsidRPr="00C00328">
        <w:rPr>
          <w:rFonts w:asciiTheme="majorHAnsi" w:hAnsiTheme="majorHAnsi" w:cstheme="majorHAnsi"/>
        </w:rPr>
        <w:t xml:space="preserve">- </w:t>
      </w:r>
      <w:r>
        <w:rPr>
          <w:rFonts w:asciiTheme="majorHAnsi" w:hAnsiTheme="majorHAnsi" w:cstheme="majorHAnsi"/>
        </w:rPr>
        <w:t xml:space="preserve">which are </w:t>
      </w:r>
      <w:r w:rsidRPr="00C00328">
        <w:rPr>
          <w:rFonts w:asciiTheme="majorHAnsi" w:hAnsiTheme="majorHAnsi" w:cstheme="majorHAnsi"/>
        </w:rPr>
        <w:t>defined as the “non-medical factors that influence health outcomes… the conditions in which people are born, grow, work, live, and age, and the wider set of forces and systems shaping the conditions of daily life” (</w:t>
      </w:r>
      <w:hyperlink r:id="rId55" w:anchor="tab=tab_1" w:history="1">
        <w:r w:rsidRPr="00C00328">
          <w:rPr>
            <w:rStyle w:val="Hyperlink"/>
            <w:rFonts w:asciiTheme="majorHAnsi" w:hAnsiTheme="majorHAnsi" w:cstheme="majorHAnsi"/>
          </w:rPr>
          <w:t>WHO</w:t>
        </w:r>
      </w:hyperlink>
      <w:r w:rsidRPr="00C00328">
        <w:rPr>
          <w:rFonts w:asciiTheme="majorHAnsi" w:hAnsiTheme="majorHAnsi" w:cstheme="majorHAnsi"/>
        </w:rPr>
        <w:t xml:space="preserve">). By reframing our interpretations and health communications by considering the conditions in which we live, we can create more sustainable and equitable plans to change the conditions and improve health outcomes for everyone. </w:t>
      </w:r>
    </w:p>
    <w:p w14:paraId="2F13A53F" w14:textId="77777777" w:rsidR="00C06637" w:rsidRPr="00F451AB" w:rsidRDefault="00C06637" w:rsidP="00C06637">
      <w:pPr>
        <w:rPr>
          <w:rFonts w:asciiTheme="majorHAnsi" w:hAnsiTheme="majorHAnsi" w:cstheme="majorBidi"/>
        </w:rPr>
      </w:pPr>
      <w:r w:rsidRPr="30C0C148">
        <w:rPr>
          <w:rFonts w:asciiTheme="majorHAnsi" w:hAnsiTheme="majorHAnsi" w:cstheme="majorBidi"/>
        </w:rPr>
        <w:t xml:space="preserve">When interpreting findings, consider the problem, the cause (what/who’s responsible), the solution, the actions needed, and the value highlighted in the frames of your interpretation. The following exercise compares an approach to interpreting data with a dominant lens of bootstrapping theory with a racial justice approach that looks at systems-level factors that influence health outcomes. This example uses 2021 YHS-High School data for past month food insecurity and stratifies the results by race/ethnicity. </w:t>
      </w:r>
    </w:p>
    <w:p w14:paraId="1FB73356" w14:textId="77777777" w:rsidR="00C06637" w:rsidRPr="00C00328" w:rsidRDefault="00C06637" w:rsidP="00C06637">
      <w:pPr>
        <w:rPr>
          <w:rFonts w:asciiTheme="majorHAnsi" w:hAnsiTheme="majorHAnsi" w:cstheme="majorHAnsi"/>
        </w:rPr>
      </w:pPr>
      <w:r w:rsidRPr="00F451AB">
        <w:rPr>
          <w:rFonts w:asciiTheme="majorHAnsi" w:hAnsiTheme="majorHAnsi" w:cstheme="majorHAnsi"/>
          <w:noProof/>
        </w:rPr>
        <w:lastRenderedPageBreak/>
        <w:drawing>
          <wp:inline distT="0" distB="0" distL="0" distR="0" wp14:anchorId="08E30BC5" wp14:editId="094745D5">
            <wp:extent cx="6390229" cy="4325693"/>
            <wp:effectExtent l="0" t="0" r="0" b="0"/>
            <wp:docPr id="6" name="Picture 6" descr="An image of the PCEs and ACEs dashboard showing 2021 YHS-High School data for past month food insecurity and stratifies the results by race/ethnicity.">
              <a:extLst xmlns:a="http://schemas.openxmlformats.org/drawingml/2006/main">
                <a:ext uri="{FF2B5EF4-FFF2-40B4-BE49-F238E27FC236}">
                  <a16:creationId xmlns:a16="http://schemas.microsoft.com/office/drawing/2014/main" id="{5803E5F7-7F73-1187-5AFD-E0074B4133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image of the PCEs and ACEs dashboard showing 2021 YHS-High School data for past month food insecurity and stratifies the results by race/ethnicity.">
                      <a:extLst>
                        <a:ext uri="{FF2B5EF4-FFF2-40B4-BE49-F238E27FC236}">
                          <a16:creationId xmlns:a16="http://schemas.microsoft.com/office/drawing/2014/main" id="{5803E5F7-7F73-1187-5AFD-E0074B4133EF}"/>
                        </a:ext>
                      </a:extLst>
                    </pic:cNvPr>
                    <pic:cNvPicPr>
                      <a:picLocks noChangeAspect="1"/>
                    </pic:cNvPicPr>
                  </pic:nvPicPr>
                  <pic:blipFill>
                    <a:blip r:embed="rId56"/>
                    <a:stretch>
                      <a:fillRect/>
                    </a:stretch>
                  </pic:blipFill>
                  <pic:spPr>
                    <a:xfrm>
                      <a:off x="0" y="0"/>
                      <a:ext cx="6394556" cy="4328622"/>
                    </a:xfrm>
                    <a:prstGeom prst="rect">
                      <a:avLst/>
                    </a:prstGeom>
                  </pic:spPr>
                </pic:pic>
              </a:graphicData>
            </a:graphic>
          </wp:inline>
        </w:drawing>
      </w:r>
    </w:p>
    <w:tbl>
      <w:tblPr>
        <w:tblStyle w:val="GridTable1Light-Accent1"/>
        <w:tblW w:w="10070" w:type="dxa"/>
        <w:tblLook w:val="0420" w:firstRow="1" w:lastRow="0" w:firstColumn="0" w:lastColumn="0" w:noHBand="0" w:noVBand="1"/>
      </w:tblPr>
      <w:tblGrid>
        <w:gridCol w:w="2330"/>
        <w:gridCol w:w="3335"/>
        <w:gridCol w:w="4405"/>
      </w:tblGrid>
      <w:tr w:rsidR="00C06637" w:rsidRPr="00057732" w14:paraId="1BD5AE39" w14:textId="77777777" w:rsidTr="00481C21">
        <w:trPr>
          <w:cnfStyle w:val="100000000000" w:firstRow="1" w:lastRow="0" w:firstColumn="0" w:lastColumn="0" w:oddVBand="0" w:evenVBand="0" w:oddHBand="0" w:evenHBand="0" w:firstRowFirstColumn="0" w:firstRowLastColumn="0" w:lastRowFirstColumn="0" w:lastRowLastColumn="0"/>
          <w:trHeight w:val="584"/>
        </w:trPr>
        <w:tc>
          <w:tcPr>
            <w:tcW w:w="2330" w:type="dxa"/>
            <w:hideMark/>
          </w:tcPr>
          <w:p w14:paraId="52392EBA" w14:textId="77777777" w:rsidR="00C06637" w:rsidRPr="00C00328" w:rsidRDefault="00C06637" w:rsidP="00481C21">
            <w:pPr>
              <w:spacing w:after="160" w:line="259" w:lineRule="auto"/>
              <w:rPr>
                <w:rFonts w:asciiTheme="majorHAnsi" w:hAnsiTheme="majorHAnsi" w:cstheme="majorHAnsi"/>
                <w:bCs w:val="0"/>
              </w:rPr>
            </w:pPr>
            <w:r w:rsidRPr="00C00328">
              <w:rPr>
                <w:rFonts w:asciiTheme="majorHAnsi" w:hAnsiTheme="majorHAnsi" w:cstheme="majorHAnsi"/>
                <w:bCs w:val="0"/>
              </w:rPr>
              <w:t>Framing Elements</w:t>
            </w:r>
          </w:p>
        </w:tc>
        <w:tc>
          <w:tcPr>
            <w:tcW w:w="3335" w:type="dxa"/>
            <w:hideMark/>
          </w:tcPr>
          <w:p w14:paraId="76C27028" w14:textId="77777777" w:rsidR="00C06637" w:rsidRPr="00C00328" w:rsidRDefault="00C06637" w:rsidP="00481C21">
            <w:pPr>
              <w:spacing w:after="160" w:line="259" w:lineRule="auto"/>
              <w:rPr>
                <w:rFonts w:asciiTheme="majorHAnsi" w:hAnsiTheme="majorHAnsi" w:cstheme="majorHAnsi"/>
                <w:bCs w:val="0"/>
              </w:rPr>
            </w:pPr>
            <w:r>
              <w:rPr>
                <w:rFonts w:asciiTheme="majorHAnsi" w:hAnsiTheme="majorHAnsi" w:cstheme="majorHAnsi"/>
                <w:bCs w:val="0"/>
              </w:rPr>
              <w:t>Individual-Focused Approach*</w:t>
            </w:r>
          </w:p>
        </w:tc>
        <w:tc>
          <w:tcPr>
            <w:tcW w:w="4405" w:type="dxa"/>
          </w:tcPr>
          <w:p w14:paraId="1C559F87" w14:textId="77777777" w:rsidR="00C06637" w:rsidRPr="00C00328" w:rsidRDefault="00C06637" w:rsidP="00481C21">
            <w:pPr>
              <w:rPr>
                <w:rFonts w:asciiTheme="majorHAnsi" w:hAnsiTheme="majorHAnsi" w:cstheme="majorHAnsi"/>
                <w:bCs w:val="0"/>
              </w:rPr>
            </w:pPr>
            <w:r w:rsidRPr="00C00328">
              <w:rPr>
                <w:rFonts w:asciiTheme="majorHAnsi" w:hAnsiTheme="majorHAnsi" w:cstheme="majorHAnsi"/>
                <w:bCs w:val="0"/>
                <w:kern w:val="24"/>
              </w:rPr>
              <w:t>Racial Justice Approach</w:t>
            </w:r>
          </w:p>
        </w:tc>
      </w:tr>
      <w:tr w:rsidR="00C06637" w:rsidRPr="00057732" w14:paraId="1BB49AEB" w14:textId="77777777" w:rsidTr="00481C21">
        <w:trPr>
          <w:trHeight w:val="584"/>
        </w:trPr>
        <w:tc>
          <w:tcPr>
            <w:tcW w:w="2330" w:type="dxa"/>
            <w:hideMark/>
          </w:tcPr>
          <w:p w14:paraId="6F8992AD" w14:textId="77777777" w:rsidR="00C06637" w:rsidRPr="002D6A0F" w:rsidRDefault="00C06637" w:rsidP="00481C21">
            <w:pPr>
              <w:spacing w:after="160" w:line="259" w:lineRule="auto"/>
              <w:rPr>
                <w:rFonts w:asciiTheme="majorHAnsi" w:hAnsiTheme="majorHAnsi" w:cstheme="majorHAnsi"/>
                <w:b/>
                <w:bCs/>
              </w:rPr>
            </w:pPr>
            <w:r w:rsidRPr="002D6A0F">
              <w:rPr>
                <w:rFonts w:asciiTheme="majorHAnsi" w:hAnsiTheme="majorHAnsi" w:cstheme="majorHAnsi"/>
                <w:b/>
                <w:bCs/>
              </w:rPr>
              <w:t>1. What’s the problem?</w:t>
            </w:r>
          </w:p>
        </w:tc>
        <w:tc>
          <w:tcPr>
            <w:tcW w:w="3335" w:type="dxa"/>
            <w:hideMark/>
          </w:tcPr>
          <w:p w14:paraId="0BCCEC1D" w14:textId="77777777" w:rsidR="00C06637" w:rsidRPr="00C00328" w:rsidRDefault="00C06637" w:rsidP="00481C21">
            <w:pPr>
              <w:spacing w:after="160" w:line="259" w:lineRule="auto"/>
              <w:rPr>
                <w:rFonts w:asciiTheme="majorHAnsi" w:hAnsiTheme="majorHAnsi" w:cstheme="majorHAnsi"/>
              </w:rPr>
            </w:pPr>
            <w:r w:rsidRPr="00C00328">
              <w:rPr>
                <w:rFonts w:asciiTheme="majorHAnsi" w:hAnsiTheme="majorHAnsi" w:cstheme="majorHAnsi"/>
              </w:rPr>
              <w:t xml:space="preserve">Black </w:t>
            </w:r>
            <w:proofErr w:type="spellStart"/>
            <w:r w:rsidRPr="00C00328">
              <w:rPr>
                <w:rFonts w:asciiTheme="majorHAnsi" w:hAnsiTheme="majorHAnsi" w:cstheme="majorHAnsi"/>
              </w:rPr>
              <w:t>nh</w:t>
            </w:r>
            <w:proofErr w:type="spellEnd"/>
            <w:r w:rsidRPr="00C00328">
              <w:rPr>
                <w:rFonts w:asciiTheme="majorHAnsi" w:hAnsiTheme="majorHAnsi" w:cstheme="majorHAnsi"/>
              </w:rPr>
              <w:t xml:space="preserve">/l youth experience the highest prevalence of food insecurity because they do not have enough food in the home </w:t>
            </w:r>
          </w:p>
        </w:tc>
        <w:tc>
          <w:tcPr>
            <w:tcW w:w="4405" w:type="dxa"/>
          </w:tcPr>
          <w:p w14:paraId="4F8AD25A" w14:textId="77777777" w:rsidR="00C06637" w:rsidRPr="00C00328" w:rsidRDefault="00C06637" w:rsidP="00481C21">
            <w:pPr>
              <w:rPr>
                <w:rFonts w:asciiTheme="majorHAnsi" w:hAnsiTheme="majorHAnsi" w:cstheme="majorHAnsi"/>
              </w:rPr>
            </w:pPr>
            <w:r w:rsidRPr="00C00328">
              <w:rPr>
                <w:rFonts w:asciiTheme="majorHAnsi" w:hAnsiTheme="majorHAnsi" w:cstheme="majorHAnsi"/>
                <w:color w:val="000000" w:themeColor="dark1"/>
                <w:kern w:val="24"/>
              </w:rPr>
              <w:t xml:space="preserve">There are racial inequities in food security </w:t>
            </w:r>
          </w:p>
        </w:tc>
      </w:tr>
      <w:tr w:rsidR="00C06637" w:rsidRPr="00057732" w14:paraId="27E9249D" w14:textId="77777777" w:rsidTr="00481C21">
        <w:trPr>
          <w:trHeight w:val="584"/>
        </w:trPr>
        <w:tc>
          <w:tcPr>
            <w:tcW w:w="2330" w:type="dxa"/>
            <w:hideMark/>
          </w:tcPr>
          <w:p w14:paraId="7AA7E323" w14:textId="77777777" w:rsidR="00C06637" w:rsidRPr="002D6A0F" w:rsidRDefault="00C06637" w:rsidP="00481C21">
            <w:pPr>
              <w:spacing w:after="160" w:line="259" w:lineRule="auto"/>
              <w:rPr>
                <w:rFonts w:asciiTheme="majorHAnsi" w:hAnsiTheme="majorHAnsi" w:cstheme="majorHAnsi"/>
                <w:b/>
                <w:bCs/>
              </w:rPr>
            </w:pPr>
            <w:r w:rsidRPr="002D6A0F">
              <w:rPr>
                <w:rFonts w:asciiTheme="majorHAnsi" w:hAnsiTheme="majorHAnsi" w:cstheme="majorHAnsi"/>
                <w:b/>
                <w:bCs/>
              </w:rPr>
              <w:t>2. What’s the cause? What/Who’s Responsible?</w:t>
            </w:r>
          </w:p>
        </w:tc>
        <w:tc>
          <w:tcPr>
            <w:tcW w:w="3335" w:type="dxa"/>
            <w:hideMark/>
          </w:tcPr>
          <w:p w14:paraId="15C1B7A5" w14:textId="77777777" w:rsidR="00C06637" w:rsidRPr="00C00328" w:rsidRDefault="00C06637" w:rsidP="00481C21">
            <w:pPr>
              <w:spacing w:after="160" w:line="259" w:lineRule="auto"/>
              <w:rPr>
                <w:rFonts w:asciiTheme="majorHAnsi" w:hAnsiTheme="majorHAnsi" w:cstheme="majorHAnsi"/>
              </w:rPr>
            </w:pPr>
            <w:r w:rsidRPr="00C00328">
              <w:rPr>
                <w:rFonts w:asciiTheme="majorHAnsi" w:hAnsiTheme="majorHAnsi" w:cstheme="majorHAnsi"/>
              </w:rPr>
              <w:t xml:space="preserve">Parents of black </w:t>
            </w:r>
            <w:proofErr w:type="spellStart"/>
            <w:r w:rsidRPr="00C00328">
              <w:rPr>
                <w:rFonts w:asciiTheme="majorHAnsi" w:hAnsiTheme="majorHAnsi" w:cstheme="majorHAnsi"/>
              </w:rPr>
              <w:t>nh</w:t>
            </w:r>
            <w:proofErr w:type="spellEnd"/>
            <w:r w:rsidRPr="00C00328">
              <w:rPr>
                <w:rFonts w:asciiTheme="majorHAnsi" w:hAnsiTheme="majorHAnsi" w:cstheme="majorHAnsi"/>
              </w:rPr>
              <w:t>/l youth are unable to/ do not provide youth with enough food (neglect)</w:t>
            </w:r>
          </w:p>
        </w:tc>
        <w:tc>
          <w:tcPr>
            <w:tcW w:w="4405" w:type="dxa"/>
          </w:tcPr>
          <w:p w14:paraId="43AEE738" w14:textId="77777777" w:rsidR="00C06637" w:rsidRPr="00C00328" w:rsidRDefault="00C06637" w:rsidP="00481C21">
            <w:pPr>
              <w:rPr>
                <w:rFonts w:asciiTheme="majorHAnsi" w:hAnsiTheme="majorHAnsi" w:cstheme="majorBidi"/>
              </w:rPr>
            </w:pPr>
            <w:r w:rsidRPr="71E17E01">
              <w:rPr>
                <w:rFonts w:asciiTheme="majorHAnsi" w:hAnsiTheme="majorHAnsi" w:cstheme="majorBidi"/>
                <w:color w:val="000000" w:themeColor="dark1"/>
                <w:kern w:val="24"/>
              </w:rPr>
              <w:t>Food deserts; income inequality; racial redlining in transit in communities of color; disinvestment in communities of color; residential segregation, low wages, lack of economic opportunity/job opportunities</w:t>
            </w:r>
          </w:p>
        </w:tc>
      </w:tr>
      <w:tr w:rsidR="00C06637" w:rsidRPr="00057732" w14:paraId="164D8590" w14:textId="77777777" w:rsidTr="00481C21">
        <w:trPr>
          <w:trHeight w:val="584"/>
        </w:trPr>
        <w:tc>
          <w:tcPr>
            <w:tcW w:w="2330" w:type="dxa"/>
            <w:hideMark/>
          </w:tcPr>
          <w:p w14:paraId="362E69A3" w14:textId="77777777" w:rsidR="00C06637" w:rsidRPr="002D6A0F" w:rsidRDefault="00C06637" w:rsidP="00481C21">
            <w:pPr>
              <w:spacing w:after="160" w:line="259" w:lineRule="auto"/>
              <w:rPr>
                <w:rFonts w:asciiTheme="majorHAnsi" w:hAnsiTheme="majorHAnsi" w:cstheme="majorHAnsi"/>
                <w:b/>
                <w:bCs/>
              </w:rPr>
            </w:pPr>
            <w:r w:rsidRPr="002D6A0F">
              <w:rPr>
                <w:rFonts w:asciiTheme="majorHAnsi" w:hAnsiTheme="majorHAnsi" w:cstheme="majorHAnsi"/>
                <w:b/>
                <w:bCs/>
              </w:rPr>
              <w:t>3. What’s the solution?</w:t>
            </w:r>
          </w:p>
        </w:tc>
        <w:tc>
          <w:tcPr>
            <w:tcW w:w="3335" w:type="dxa"/>
            <w:hideMark/>
          </w:tcPr>
          <w:p w14:paraId="2D975A72" w14:textId="77777777" w:rsidR="00C06637" w:rsidRPr="00C00328" w:rsidRDefault="00C06637" w:rsidP="00481C21">
            <w:pPr>
              <w:spacing w:after="160" w:line="259" w:lineRule="auto"/>
              <w:rPr>
                <w:rFonts w:asciiTheme="majorHAnsi" w:hAnsiTheme="majorHAnsi" w:cstheme="majorHAnsi"/>
              </w:rPr>
            </w:pPr>
            <w:r w:rsidRPr="00C00328">
              <w:rPr>
                <w:rFonts w:asciiTheme="majorHAnsi" w:hAnsiTheme="majorHAnsi" w:cstheme="majorHAnsi"/>
              </w:rPr>
              <w:t xml:space="preserve">Parents of black </w:t>
            </w:r>
            <w:proofErr w:type="spellStart"/>
            <w:r w:rsidRPr="00C00328">
              <w:rPr>
                <w:rFonts w:asciiTheme="majorHAnsi" w:hAnsiTheme="majorHAnsi" w:cstheme="majorHAnsi"/>
              </w:rPr>
              <w:t>nh</w:t>
            </w:r>
            <w:proofErr w:type="spellEnd"/>
            <w:r w:rsidRPr="00C00328">
              <w:rPr>
                <w:rFonts w:asciiTheme="majorHAnsi" w:hAnsiTheme="majorHAnsi" w:cstheme="majorHAnsi"/>
              </w:rPr>
              <w:t xml:space="preserve">/l youth need to work more and not rely on food stamps </w:t>
            </w:r>
          </w:p>
        </w:tc>
        <w:tc>
          <w:tcPr>
            <w:tcW w:w="4405" w:type="dxa"/>
          </w:tcPr>
          <w:p w14:paraId="2275A527" w14:textId="77777777" w:rsidR="00C06637" w:rsidRPr="00C00328" w:rsidRDefault="00C06637" w:rsidP="00481C21">
            <w:pPr>
              <w:rPr>
                <w:rFonts w:asciiTheme="majorHAnsi" w:hAnsiTheme="majorHAnsi" w:cstheme="majorHAnsi"/>
              </w:rPr>
            </w:pPr>
            <w:r w:rsidRPr="00C00328">
              <w:rPr>
                <w:rFonts w:asciiTheme="majorHAnsi" w:hAnsiTheme="majorHAnsi" w:cstheme="majorHAnsi"/>
                <w:color w:val="000000" w:themeColor="dark1"/>
                <w:kern w:val="24"/>
              </w:rPr>
              <w:t xml:space="preserve">Food security in all communities; economic investment in low-income communities/communities of color; </w:t>
            </w:r>
            <w:r>
              <w:rPr>
                <w:rFonts w:asciiTheme="majorHAnsi" w:hAnsiTheme="majorHAnsi" w:cstheme="majorHAnsi"/>
                <w:color w:val="000000" w:themeColor="dark1"/>
                <w:kern w:val="24"/>
              </w:rPr>
              <w:t xml:space="preserve">livable wages; </w:t>
            </w:r>
            <w:r w:rsidRPr="00C00328">
              <w:rPr>
                <w:rFonts w:asciiTheme="majorHAnsi" w:hAnsiTheme="majorHAnsi" w:cstheme="majorHAnsi"/>
                <w:color w:val="000000" w:themeColor="dark1"/>
                <w:kern w:val="24"/>
              </w:rPr>
              <w:t xml:space="preserve">accessible and affordable healthy foods in all communities, particularly communities of color </w:t>
            </w:r>
          </w:p>
        </w:tc>
      </w:tr>
      <w:tr w:rsidR="00C06637" w:rsidRPr="00057732" w14:paraId="76A19150" w14:textId="77777777" w:rsidTr="00481C21">
        <w:trPr>
          <w:trHeight w:val="584"/>
        </w:trPr>
        <w:tc>
          <w:tcPr>
            <w:tcW w:w="2330" w:type="dxa"/>
            <w:hideMark/>
          </w:tcPr>
          <w:p w14:paraId="3709A839" w14:textId="77777777" w:rsidR="00C06637" w:rsidRPr="002D6A0F" w:rsidRDefault="00C06637" w:rsidP="00481C21">
            <w:pPr>
              <w:spacing w:after="160" w:line="259" w:lineRule="auto"/>
              <w:rPr>
                <w:rFonts w:asciiTheme="majorHAnsi" w:hAnsiTheme="majorHAnsi" w:cstheme="majorHAnsi"/>
                <w:b/>
                <w:bCs/>
              </w:rPr>
            </w:pPr>
            <w:r w:rsidRPr="002D6A0F">
              <w:rPr>
                <w:rFonts w:asciiTheme="majorHAnsi" w:hAnsiTheme="majorHAnsi" w:cstheme="majorHAnsi"/>
                <w:b/>
                <w:bCs/>
              </w:rPr>
              <w:t>4. What action is needed?</w:t>
            </w:r>
          </w:p>
        </w:tc>
        <w:tc>
          <w:tcPr>
            <w:tcW w:w="3335" w:type="dxa"/>
            <w:hideMark/>
          </w:tcPr>
          <w:p w14:paraId="0887746B" w14:textId="77777777" w:rsidR="00C06637" w:rsidRPr="00C00328" w:rsidRDefault="00C06637" w:rsidP="00481C21">
            <w:pPr>
              <w:spacing w:after="160" w:line="259" w:lineRule="auto"/>
              <w:rPr>
                <w:rFonts w:asciiTheme="majorHAnsi" w:hAnsiTheme="majorHAnsi" w:cstheme="majorHAnsi"/>
              </w:rPr>
            </w:pPr>
            <w:r w:rsidRPr="00C00328">
              <w:rPr>
                <w:rFonts w:asciiTheme="majorHAnsi" w:hAnsiTheme="majorHAnsi" w:cstheme="majorHAnsi"/>
              </w:rPr>
              <w:t>DCF involvement (neglect), more employment</w:t>
            </w:r>
          </w:p>
        </w:tc>
        <w:tc>
          <w:tcPr>
            <w:tcW w:w="4405" w:type="dxa"/>
          </w:tcPr>
          <w:p w14:paraId="4F89DAF4" w14:textId="77777777" w:rsidR="00C06637" w:rsidRPr="00C00328" w:rsidRDefault="00C06637" w:rsidP="00481C21">
            <w:pPr>
              <w:rPr>
                <w:rFonts w:asciiTheme="majorHAnsi" w:hAnsiTheme="majorHAnsi" w:cstheme="majorHAnsi"/>
              </w:rPr>
            </w:pPr>
            <w:r w:rsidRPr="00C00328">
              <w:rPr>
                <w:rFonts w:asciiTheme="majorHAnsi" w:hAnsiTheme="majorHAnsi" w:cstheme="majorHAnsi"/>
                <w:color w:val="000000" w:themeColor="dark1"/>
                <w:kern w:val="24"/>
              </w:rPr>
              <w:t xml:space="preserve">Food access policies that target roots of inequities; economic policies that invest in </w:t>
            </w:r>
            <w:r w:rsidRPr="00C00328">
              <w:rPr>
                <w:rFonts w:asciiTheme="majorHAnsi" w:hAnsiTheme="majorHAnsi" w:cstheme="majorHAnsi"/>
                <w:color w:val="000000" w:themeColor="dark1"/>
                <w:kern w:val="24"/>
              </w:rPr>
              <w:lastRenderedPageBreak/>
              <w:t>communities of color; partnerships across sectors and with community residents</w:t>
            </w:r>
          </w:p>
        </w:tc>
      </w:tr>
      <w:tr w:rsidR="00C06637" w:rsidRPr="00057732" w14:paraId="67C39C06" w14:textId="77777777" w:rsidTr="00481C21">
        <w:trPr>
          <w:trHeight w:val="584"/>
        </w:trPr>
        <w:tc>
          <w:tcPr>
            <w:tcW w:w="2330" w:type="dxa"/>
            <w:hideMark/>
          </w:tcPr>
          <w:p w14:paraId="2F509FA0" w14:textId="77777777" w:rsidR="00C06637" w:rsidRPr="00C00328" w:rsidRDefault="00C06637" w:rsidP="00481C21">
            <w:pPr>
              <w:spacing w:after="160" w:line="259" w:lineRule="auto"/>
              <w:rPr>
                <w:rFonts w:asciiTheme="majorHAnsi" w:hAnsiTheme="majorHAnsi" w:cstheme="majorBidi"/>
              </w:rPr>
            </w:pPr>
            <w:r w:rsidRPr="004A30F5">
              <w:rPr>
                <w:rFonts w:asciiTheme="majorHAnsi" w:hAnsiTheme="majorHAnsi" w:cstheme="majorBidi"/>
                <w:b/>
                <w:bCs/>
              </w:rPr>
              <w:lastRenderedPageBreak/>
              <w:t>5.</w:t>
            </w:r>
            <w:r w:rsidRPr="34B8C4E2">
              <w:rPr>
                <w:rFonts w:asciiTheme="majorHAnsi" w:hAnsiTheme="majorHAnsi" w:cstheme="majorBidi"/>
              </w:rPr>
              <w:t xml:space="preserve"> </w:t>
            </w:r>
            <w:r w:rsidRPr="34B8C4E2">
              <w:rPr>
                <w:rFonts w:asciiTheme="majorHAnsi" w:hAnsiTheme="majorHAnsi" w:cstheme="majorBidi"/>
                <w:b/>
                <w:bCs/>
              </w:rPr>
              <w:t>What values are highlighted?</w:t>
            </w:r>
          </w:p>
        </w:tc>
        <w:tc>
          <w:tcPr>
            <w:tcW w:w="3335" w:type="dxa"/>
            <w:hideMark/>
          </w:tcPr>
          <w:p w14:paraId="430896D0" w14:textId="77777777" w:rsidR="00C06637" w:rsidRPr="00C00328" w:rsidRDefault="00C06637" w:rsidP="00481C21">
            <w:pPr>
              <w:spacing w:after="160" w:line="259" w:lineRule="auto"/>
              <w:rPr>
                <w:rFonts w:asciiTheme="majorHAnsi" w:hAnsiTheme="majorHAnsi" w:cstheme="majorHAnsi"/>
              </w:rPr>
            </w:pPr>
            <w:r w:rsidRPr="00C00328">
              <w:rPr>
                <w:rFonts w:asciiTheme="majorHAnsi" w:hAnsiTheme="majorHAnsi" w:cstheme="majorHAnsi"/>
              </w:rPr>
              <w:t>Bootstrapping, hard work, personal responsibility, individual choice</w:t>
            </w:r>
          </w:p>
        </w:tc>
        <w:tc>
          <w:tcPr>
            <w:tcW w:w="4405" w:type="dxa"/>
          </w:tcPr>
          <w:p w14:paraId="3B8E93A9" w14:textId="77777777" w:rsidR="00C06637" w:rsidRPr="00C00328" w:rsidRDefault="00C06637" w:rsidP="00481C21">
            <w:pPr>
              <w:rPr>
                <w:rFonts w:asciiTheme="majorHAnsi" w:hAnsiTheme="majorHAnsi" w:cstheme="majorHAnsi"/>
              </w:rPr>
            </w:pPr>
            <w:r w:rsidRPr="00C00328">
              <w:rPr>
                <w:rFonts w:asciiTheme="majorHAnsi" w:hAnsiTheme="majorHAnsi" w:cstheme="majorHAnsi"/>
                <w:color w:val="000000" w:themeColor="dark1"/>
                <w:kern w:val="24"/>
              </w:rPr>
              <w:t xml:space="preserve">Equity, justice, fairness, shared responsibility </w:t>
            </w:r>
          </w:p>
        </w:tc>
      </w:tr>
    </w:tbl>
    <w:p w14:paraId="56458605" w14:textId="77777777" w:rsidR="00C06637" w:rsidRPr="009C4416" w:rsidRDefault="00C06637" w:rsidP="00C06637">
      <w:pPr>
        <w:rPr>
          <w:rFonts w:asciiTheme="majorHAnsi" w:hAnsiTheme="majorHAnsi" w:cstheme="majorHAnsi"/>
          <w:i/>
          <w:iCs/>
          <w:sz w:val="20"/>
          <w:szCs w:val="20"/>
        </w:rPr>
      </w:pPr>
      <w:r w:rsidRPr="009C4416">
        <w:rPr>
          <w:rFonts w:asciiTheme="majorHAnsi" w:hAnsiTheme="majorHAnsi" w:cstheme="majorHAnsi"/>
          <w:i/>
          <w:iCs/>
          <w:sz w:val="20"/>
          <w:szCs w:val="20"/>
        </w:rPr>
        <w:t>*</w:t>
      </w:r>
      <w:r>
        <w:rPr>
          <w:rFonts w:asciiTheme="majorHAnsi" w:hAnsiTheme="majorHAnsi" w:cstheme="majorHAnsi"/>
          <w:i/>
          <w:iCs/>
          <w:sz w:val="20"/>
          <w:szCs w:val="20"/>
        </w:rPr>
        <w:t>Blaming</w:t>
      </w:r>
      <w:r w:rsidRPr="009C4416">
        <w:rPr>
          <w:rFonts w:asciiTheme="majorHAnsi" w:hAnsiTheme="majorHAnsi" w:cstheme="majorHAnsi"/>
          <w:i/>
          <w:iCs/>
          <w:sz w:val="20"/>
          <w:szCs w:val="20"/>
        </w:rPr>
        <w:t xml:space="preserve"> someone’s behavior instead of looking at the systems</w:t>
      </w:r>
      <w:r>
        <w:rPr>
          <w:rFonts w:asciiTheme="majorHAnsi" w:hAnsiTheme="majorHAnsi" w:cstheme="majorHAnsi"/>
          <w:i/>
          <w:iCs/>
          <w:sz w:val="20"/>
          <w:szCs w:val="20"/>
        </w:rPr>
        <w:t xml:space="preserve"> and policies</w:t>
      </w:r>
      <w:r w:rsidRPr="009C4416">
        <w:rPr>
          <w:rFonts w:asciiTheme="majorHAnsi" w:hAnsiTheme="majorHAnsi" w:cstheme="majorHAnsi"/>
          <w:i/>
          <w:iCs/>
          <w:sz w:val="20"/>
          <w:szCs w:val="20"/>
        </w:rPr>
        <w:t xml:space="preserve"> in which people live</w:t>
      </w:r>
    </w:p>
    <w:p w14:paraId="4433409D" w14:textId="77777777" w:rsidR="00C06637" w:rsidRPr="00A31FB0" w:rsidRDefault="00C06637" w:rsidP="00C06637">
      <w:pPr>
        <w:rPr>
          <w:rFonts w:asciiTheme="majorHAnsi" w:hAnsiTheme="majorHAnsi" w:cstheme="majorHAnsi"/>
        </w:rPr>
      </w:pPr>
      <w:r w:rsidRPr="00FA1448">
        <w:rPr>
          <w:rFonts w:asciiTheme="majorHAnsi" w:hAnsiTheme="majorHAnsi" w:cstheme="majorHAnsi"/>
        </w:rPr>
        <w:t>An interpretation rooted in the bootstrapping theory and framing incorrectly places blame on individual and family choices for the different outcomes in food security by race and ethnicity. When using a racial justice lens, we consider the historical and society level factors that influence environments and opportunities and lead to these inequitable outcomes. These interpretations also help us use the data to inform our actions and consider sustainable and community and society-level changes to improve the health and well-being of MA residents. Follow the steps outlined below</w:t>
      </w:r>
      <w:r>
        <w:rPr>
          <w:rFonts w:asciiTheme="majorHAnsi" w:hAnsiTheme="majorHAnsi" w:cstheme="majorHAnsi"/>
        </w:rPr>
        <w:t xml:space="preserve"> for a racial and health equity informed data-to-action approach, and also visit the</w:t>
      </w:r>
      <w:r w:rsidRPr="00FA1448">
        <w:rPr>
          <w:rFonts w:asciiTheme="majorHAnsi" w:hAnsiTheme="majorHAnsi" w:cstheme="majorHAnsi"/>
        </w:rPr>
        <w:t xml:space="preserve"> </w:t>
      </w:r>
      <w:hyperlink r:id="rId57" w:history="1">
        <w:r w:rsidRPr="00FA1448">
          <w:rPr>
            <w:rStyle w:val="Hyperlink"/>
            <w:rFonts w:asciiTheme="majorHAnsi" w:hAnsiTheme="majorHAnsi" w:cstheme="majorHAnsi"/>
          </w:rPr>
          <w:t>Racial Equity Data Road Map | Mass.gov</w:t>
        </w:r>
      </w:hyperlink>
      <w:r>
        <w:rPr>
          <w:rFonts w:asciiTheme="majorHAnsi" w:hAnsiTheme="majorHAnsi" w:cstheme="majorHAnsi"/>
        </w:rPr>
        <w:t xml:space="preserve"> for more guidance. </w:t>
      </w:r>
    </w:p>
    <w:p w14:paraId="7D4295DB" w14:textId="77777777" w:rsidR="00C06637" w:rsidRPr="00F92F7A" w:rsidRDefault="00C06637" w:rsidP="00C06637">
      <w:pPr>
        <w:pStyle w:val="Heading3"/>
      </w:pPr>
      <w:r w:rsidRPr="00F92F7A">
        <w:t xml:space="preserve">Steps from Data to Action </w:t>
      </w:r>
    </w:p>
    <w:p w14:paraId="7E7BF60E" w14:textId="77777777" w:rsidR="00C06637" w:rsidRDefault="00C06637" w:rsidP="00C06637">
      <w:pPr>
        <w:pStyle w:val="ListParagraph"/>
        <w:numPr>
          <w:ilvl w:val="0"/>
          <w:numId w:val="27"/>
        </w:numPr>
        <w:rPr>
          <w:rFonts w:asciiTheme="majorHAnsi" w:hAnsiTheme="majorHAnsi" w:cstheme="majorHAnsi"/>
          <w:b/>
          <w:bCs/>
        </w:rPr>
      </w:pPr>
      <w:r w:rsidRPr="00C00328">
        <w:rPr>
          <w:rFonts w:asciiTheme="majorHAnsi" w:hAnsiTheme="majorHAnsi" w:cstheme="majorHAnsi"/>
          <w:b/>
          <w:bCs/>
        </w:rPr>
        <w:t xml:space="preserve">Get the </w:t>
      </w:r>
      <w:proofErr w:type="gramStart"/>
      <w:r w:rsidRPr="00C00328">
        <w:rPr>
          <w:rFonts w:asciiTheme="majorHAnsi" w:hAnsiTheme="majorHAnsi" w:cstheme="majorHAnsi"/>
          <w:b/>
          <w:bCs/>
        </w:rPr>
        <w:t>data</w:t>
      </w:r>
      <w:proofErr w:type="gramEnd"/>
    </w:p>
    <w:p w14:paraId="749B6EE5" w14:textId="77777777" w:rsidR="00C06637" w:rsidRPr="00A31FB0" w:rsidRDefault="00C06637" w:rsidP="00C06637">
      <w:pPr>
        <w:pStyle w:val="ListParagraph"/>
        <w:numPr>
          <w:ilvl w:val="1"/>
          <w:numId w:val="27"/>
        </w:numPr>
        <w:rPr>
          <w:rFonts w:asciiTheme="majorHAnsi" w:hAnsiTheme="majorHAnsi" w:cstheme="majorHAnsi"/>
        </w:rPr>
      </w:pPr>
      <w:r>
        <w:rPr>
          <w:rFonts w:asciiTheme="majorHAnsi" w:hAnsiTheme="majorHAnsi" w:cstheme="majorHAnsi"/>
        </w:rPr>
        <w:t>PCEs &amp; ACEs</w:t>
      </w:r>
      <w:r w:rsidRPr="00A31FB0">
        <w:rPr>
          <w:rFonts w:asciiTheme="majorHAnsi" w:hAnsiTheme="majorHAnsi" w:cstheme="majorHAnsi"/>
        </w:rPr>
        <w:t xml:space="preserve"> Data Dashboard &amp; other published data resources on the website (coming soon)</w:t>
      </w:r>
    </w:p>
    <w:p w14:paraId="09FA321E" w14:textId="77777777" w:rsidR="00C06637" w:rsidRPr="00A31FB0" w:rsidRDefault="00C06637" w:rsidP="00C06637">
      <w:pPr>
        <w:pStyle w:val="ListParagraph"/>
        <w:numPr>
          <w:ilvl w:val="1"/>
          <w:numId w:val="27"/>
        </w:numPr>
        <w:rPr>
          <w:rFonts w:asciiTheme="majorHAnsi" w:hAnsiTheme="majorHAnsi" w:cstheme="majorHAnsi"/>
        </w:rPr>
      </w:pPr>
      <w:r w:rsidRPr="00A31FB0">
        <w:rPr>
          <w:rFonts w:asciiTheme="majorHAnsi" w:hAnsiTheme="majorHAnsi" w:cstheme="majorHAnsi"/>
        </w:rPr>
        <w:t>Think about multiple formats</w:t>
      </w:r>
      <w:r>
        <w:rPr>
          <w:rFonts w:asciiTheme="majorHAnsi" w:hAnsiTheme="majorHAnsi" w:cstheme="majorHAnsi"/>
        </w:rPr>
        <w:t xml:space="preserve"> of data available</w:t>
      </w:r>
      <w:r w:rsidRPr="00A31FB0">
        <w:rPr>
          <w:rFonts w:asciiTheme="majorHAnsi" w:hAnsiTheme="majorHAnsi" w:cstheme="majorHAnsi"/>
        </w:rPr>
        <w:t xml:space="preserve">- webinars, sides, raw data in tables, talking points with statements of findings and using all of the context available to support the </w:t>
      </w:r>
      <w:proofErr w:type="gramStart"/>
      <w:r w:rsidRPr="00A31FB0">
        <w:rPr>
          <w:rFonts w:asciiTheme="majorHAnsi" w:hAnsiTheme="majorHAnsi" w:cstheme="majorHAnsi"/>
        </w:rPr>
        <w:t>data</w:t>
      </w:r>
      <w:proofErr w:type="gramEnd"/>
    </w:p>
    <w:p w14:paraId="5E61642A" w14:textId="77777777" w:rsidR="00C06637" w:rsidRPr="00A31FB0" w:rsidRDefault="00C06637" w:rsidP="00C06637">
      <w:pPr>
        <w:pStyle w:val="ListParagraph"/>
        <w:numPr>
          <w:ilvl w:val="1"/>
          <w:numId w:val="27"/>
        </w:numPr>
        <w:rPr>
          <w:rFonts w:asciiTheme="majorHAnsi" w:hAnsiTheme="majorHAnsi" w:cstheme="majorHAnsi"/>
        </w:rPr>
      </w:pPr>
      <w:r w:rsidRPr="00A31FB0">
        <w:rPr>
          <w:rFonts w:asciiTheme="majorHAnsi" w:hAnsiTheme="majorHAnsi" w:cstheme="majorHAnsi"/>
        </w:rPr>
        <w:t xml:space="preserve">Other data sources: American Community Survey, PHIT </w:t>
      </w:r>
      <w:proofErr w:type="spellStart"/>
      <w:r w:rsidRPr="00A31FB0">
        <w:rPr>
          <w:rFonts w:asciiTheme="majorHAnsi" w:hAnsiTheme="majorHAnsi" w:cstheme="majorHAnsi"/>
        </w:rPr>
        <w:t>SDoH</w:t>
      </w:r>
      <w:proofErr w:type="spellEnd"/>
      <w:r w:rsidRPr="00A31FB0">
        <w:rPr>
          <w:rFonts w:asciiTheme="majorHAnsi" w:hAnsiTheme="majorHAnsi" w:cstheme="majorHAnsi"/>
        </w:rPr>
        <w:t>, PHIT Community Health Data Tool (add in links)</w:t>
      </w:r>
    </w:p>
    <w:p w14:paraId="594C9319" w14:textId="77777777" w:rsidR="00C06637" w:rsidRDefault="00C06637" w:rsidP="00C06637">
      <w:pPr>
        <w:pStyle w:val="ListParagraph"/>
        <w:numPr>
          <w:ilvl w:val="0"/>
          <w:numId w:val="27"/>
        </w:numPr>
        <w:rPr>
          <w:rFonts w:asciiTheme="majorHAnsi" w:hAnsiTheme="majorHAnsi" w:cstheme="majorHAnsi"/>
          <w:b/>
          <w:bCs/>
        </w:rPr>
      </w:pPr>
      <w:r w:rsidRPr="00C00328">
        <w:rPr>
          <w:rFonts w:asciiTheme="majorHAnsi" w:hAnsiTheme="majorHAnsi" w:cstheme="majorHAnsi"/>
          <w:b/>
          <w:bCs/>
        </w:rPr>
        <w:t xml:space="preserve">Identify your </w:t>
      </w:r>
      <w:proofErr w:type="gramStart"/>
      <w:r w:rsidRPr="00C00328">
        <w:rPr>
          <w:rFonts w:asciiTheme="majorHAnsi" w:hAnsiTheme="majorHAnsi" w:cstheme="majorHAnsi"/>
          <w:b/>
          <w:bCs/>
        </w:rPr>
        <w:t>partner</w:t>
      </w:r>
      <w:r>
        <w:rPr>
          <w:rFonts w:asciiTheme="majorHAnsi" w:hAnsiTheme="majorHAnsi" w:cstheme="majorHAnsi"/>
          <w:b/>
          <w:bCs/>
        </w:rPr>
        <w:t>s</w:t>
      </w:r>
      <w:proofErr w:type="gramEnd"/>
    </w:p>
    <w:p w14:paraId="69B3F8E0" w14:textId="77777777" w:rsidR="00C06637" w:rsidRPr="00DA5FF0" w:rsidRDefault="00C06637" w:rsidP="00C06637">
      <w:pPr>
        <w:ind w:left="1080"/>
        <w:rPr>
          <w:rFonts w:asciiTheme="majorHAnsi" w:hAnsiTheme="majorHAnsi" w:cstheme="majorHAnsi"/>
        </w:rPr>
      </w:pPr>
      <w:r w:rsidRPr="00A31FB0">
        <w:rPr>
          <w:noProof/>
        </w:rPr>
        <mc:AlternateContent>
          <mc:Choice Requires="wps">
            <w:drawing>
              <wp:inline distT="0" distB="0" distL="0" distR="0" wp14:anchorId="0E4EB7E0" wp14:editId="7CF0C864">
                <wp:extent cx="2668578" cy="1477010"/>
                <wp:effectExtent l="0" t="0" r="17780" b="11430"/>
                <wp:docPr id="2" name="Text Box 2"/>
                <wp:cNvGraphicFramePr/>
                <a:graphic xmlns:a="http://schemas.openxmlformats.org/drawingml/2006/main">
                  <a:graphicData uri="http://schemas.microsoft.com/office/word/2010/wordprocessingShape">
                    <wps:wsp>
                      <wps:cNvSpPr txBox="1"/>
                      <wps:spPr>
                        <a:xfrm>
                          <a:off x="0" y="0"/>
                          <a:ext cx="2668578" cy="1477010"/>
                        </a:xfrm>
                        <a:prstGeom prst="rect">
                          <a:avLst/>
                        </a:prstGeom>
                        <a:solidFill>
                          <a:schemeClr val="bg2"/>
                        </a:solidFill>
                        <a:ln>
                          <a:solidFill>
                            <a:schemeClr val="bg2">
                              <a:lumMod val="50000"/>
                            </a:schemeClr>
                          </a:solidFill>
                        </a:ln>
                      </wps:spPr>
                      <wps:txbx>
                        <w:txbxContent>
                          <w:p w14:paraId="6C1D328D" w14:textId="77777777" w:rsidR="00C06637" w:rsidRPr="00C00328" w:rsidRDefault="00C06637" w:rsidP="00C06637">
                            <w:pPr>
                              <w:rPr>
                                <w:rFonts w:ascii="Calibri" w:hAnsi="Calibri" w:cs="Arial"/>
                                <w:color w:val="000000" w:themeColor="text1"/>
                                <w:kern w:val="24"/>
                                <w:sz w:val="20"/>
                                <w:szCs w:val="20"/>
                              </w:rPr>
                            </w:pPr>
                            <w:r w:rsidRPr="00C00328">
                              <w:rPr>
                                <w:rFonts w:ascii="Calibri" w:hAnsi="Calibri" w:cs="Arial"/>
                                <w:color w:val="000000" w:themeColor="text1"/>
                                <w:kern w:val="24"/>
                                <w:sz w:val="20"/>
                                <w:szCs w:val="20"/>
                              </w:rPr>
                              <w:t xml:space="preserve">With racial justice reframing at every step. Consider: </w:t>
                            </w:r>
                          </w:p>
                          <w:p w14:paraId="37292CB5" w14:textId="77777777" w:rsidR="00C06637" w:rsidRPr="00C00328" w:rsidRDefault="00C06637" w:rsidP="00C06637">
                            <w:pPr>
                              <w:pStyle w:val="ListParagraph"/>
                              <w:numPr>
                                <w:ilvl w:val="0"/>
                                <w:numId w:val="28"/>
                              </w:numPr>
                              <w:spacing w:after="0" w:line="240" w:lineRule="auto"/>
                              <w:rPr>
                                <w:rFonts w:ascii="Calibri" w:hAnsi="Calibri" w:cs="Arial"/>
                                <w:color w:val="000000" w:themeColor="text1"/>
                                <w:kern w:val="24"/>
                                <w:sz w:val="20"/>
                                <w:szCs w:val="20"/>
                              </w:rPr>
                            </w:pPr>
                            <w:r w:rsidRPr="00C00328">
                              <w:rPr>
                                <w:rFonts w:ascii="Calibri" w:hAnsi="Calibri" w:cs="Arial"/>
                                <w:color w:val="000000" w:themeColor="text1"/>
                                <w:kern w:val="24"/>
                                <w:sz w:val="20"/>
                                <w:szCs w:val="20"/>
                              </w:rPr>
                              <w:t xml:space="preserve">Who benefits? </w:t>
                            </w:r>
                          </w:p>
                          <w:p w14:paraId="41A4DB5E" w14:textId="77777777" w:rsidR="00C06637" w:rsidRPr="00C00328" w:rsidRDefault="00C06637" w:rsidP="00C06637">
                            <w:pPr>
                              <w:pStyle w:val="ListParagraph"/>
                              <w:numPr>
                                <w:ilvl w:val="0"/>
                                <w:numId w:val="28"/>
                              </w:numPr>
                              <w:spacing w:after="0" w:line="240" w:lineRule="auto"/>
                              <w:rPr>
                                <w:rFonts w:ascii="Calibri" w:hAnsi="Calibri" w:cs="Arial"/>
                                <w:color w:val="000000" w:themeColor="text1"/>
                                <w:kern w:val="24"/>
                                <w:sz w:val="20"/>
                                <w:szCs w:val="20"/>
                              </w:rPr>
                            </w:pPr>
                            <w:r w:rsidRPr="00C00328">
                              <w:rPr>
                                <w:rFonts w:ascii="Calibri" w:hAnsi="Calibri" w:cs="Arial"/>
                                <w:color w:val="000000" w:themeColor="text1"/>
                                <w:kern w:val="24"/>
                                <w:sz w:val="20"/>
                                <w:szCs w:val="20"/>
                              </w:rPr>
                              <w:t xml:space="preserve">Who is harmed? </w:t>
                            </w:r>
                          </w:p>
                          <w:p w14:paraId="6C808727" w14:textId="77777777" w:rsidR="00C06637" w:rsidRPr="00C00328" w:rsidRDefault="00C06637" w:rsidP="00C06637">
                            <w:pPr>
                              <w:pStyle w:val="ListParagraph"/>
                              <w:numPr>
                                <w:ilvl w:val="0"/>
                                <w:numId w:val="28"/>
                              </w:numPr>
                              <w:spacing w:after="0" w:line="240" w:lineRule="auto"/>
                              <w:rPr>
                                <w:rFonts w:ascii="Calibri" w:hAnsi="Calibri" w:cs="Arial"/>
                                <w:color w:val="000000" w:themeColor="text1"/>
                                <w:kern w:val="24"/>
                                <w:sz w:val="20"/>
                                <w:szCs w:val="20"/>
                              </w:rPr>
                            </w:pPr>
                            <w:r w:rsidRPr="00C00328">
                              <w:rPr>
                                <w:rFonts w:ascii="Calibri" w:hAnsi="Calibri" w:cs="Arial"/>
                                <w:color w:val="000000" w:themeColor="text1"/>
                                <w:kern w:val="24"/>
                                <w:sz w:val="20"/>
                                <w:szCs w:val="20"/>
                              </w:rPr>
                              <w:t>Who influences/who decides?</w:t>
                            </w:r>
                          </w:p>
                          <w:p w14:paraId="19CDD37D" w14:textId="77777777" w:rsidR="00C06637" w:rsidRPr="00C00328" w:rsidRDefault="00C06637" w:rsidP="00C06637">
                            <w:pPr>
                              <w:pStyle w:val="ListParagraph"/>
                              <w:numPr>
                                <w:ilvl w:val="0"/>
                                <w:numId w:val="28"/>
                              </w:numPr>
                              <w:spacing w:after="0" w:line="240" w:lineRule="auto"/>
                              <w:rPr>
                                <w:rFonts w:ascii="Calibri" w:hAnsi="Calibri" w:cs="Arial"/>
                                <w:color w:val="000000" w:themeColor="text1"/>
                                <w:kern w:val="24"/>
                                <w:sz w:val="20"/>
                                <w:szCs w:val="20"/>
                              </w:rPr>
                            </w:pPr>
                            <w:r w:rsidRPr="00C00328">
                              <w:rPr>
                                <w:rFonts w:ascii="Calibri" w:hAnsi="Calibri" w:cs="Arial"/>
                                <w:color w:val="000000" w:themeColor="text1"/>
                                <w:kern w:val="24"/>
                                <w:sz w:val="20"/>
                                <w:szCs w:val="20"/>
                              </w:rPr>
                              <w:t xml:space="preserve">What might be unintended consequences? </w:t>
                            </w:r>
                          </w:p>
                        </w:txbxContent>
                      </wps:txbx>
                      <wps:bodyPr wrap="square" rtlCol="0">
                        <a:spAutoFit/>
                      </wps:bodyPr>
                    </wps:wsp>
                  </a:graphicData>
                </a:graphic>
              </wp:inline>
            </w:drawing>
          </mc:Choice>
          <mc:Fallback>
            <w:pict>
              <v:shapetype w14:anchorId="0E4EB7E0" id="_x0000_t202" coordsize="21600,21600" o:spt="202" path="m,l,21600r21600,l21600,xe">
                <v:stroke joinstyle="miter"/>
                <v:path gradientshapeok="t" o:connecttype="rect"/>
              </v:shapetype>
              <v:shape id="Text Box 2" o:spid="_x0000_s1026" type="#_x0000_t202" style="width:210.1pt;height:1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" fillcolor="#e7e6e6 [3214]" strokecolor="#747070 [1614]">
                <v:textbox style="mso-fit-shape-to-text:t">
                  <w:txbxContent>
                    <w:p w14:paraId="6C1D328D" w14:textId="77777777" w:rsidR="00C06637" w:rsidRPr="00C00328" w:rsidRDefault="00C06637" w:rsidP="00C06637">
                      <w:pPr>
                        <w:rPr>
                          <w:rFonts w:ascii="Calibri" w:hAnsi="Calibri" w:cs="Arial"/>
                          <w:color w:val="000000" w:themeColor="text1"/>
                          <w:kern w:val="24"/>
                          <w:sz w:val="20"/>
                          <w:szCs w:val="20"/>
                        </w:rPr>
                      </w:pPr>
                      <w:r w:rsidRPr="00C00328">
                        <w:rPr>
                          <w:rFonts w:ascii="Calibri" w:hAnsi="Calibri" w:cs="Arial"/>
                          <w:color w:val="000000" w:themeColor="text1"/>
                          <w:kern w:val="24"/>
                          <w:sz w:val="20"/>
                          <w:szCs w:val="20"/>
                        </w:rPr>
                        <w:t xml:space="preserve">With racial justice reframing at every step. Consider: </w:t>
                      </w:r>
                    </w:p>
                    <w:p w14:paraId="37292CB5" w14:textId="77777777" w:rsidR="00C06637" w:rsidRPr="00C00328" w:rsidRDefault="00C06637" w:rsidP="00C06637">
                      <w:pPr>
                        <w:pStyle w:val="ListParagraph"/>
                        <w:numPr>
                          <w:ilvl w:val="0"/>
                          <w:numId w:val="28"/>
                        </w:numPr>
                        <w:spacing w:after="0" w:line="240" w:lineRule="auto"/>
                        <w:rPr>
                          <w:rFonts w:ascii="Calibri" w:hAnsi="Calibri" w:cs="Arial"/>
                          <w:color w:val="000000" w:themeColor="text1"/>
                          <w:kern w:val="24"/>
                          <w:sz w:val="20"/>
                          <w:szCs w:val="20"/>
                        </w:rPr>
                      </w:pPr>
                      <w:r w:rsidRPr="00C00328">
                        <w:rPr>
                          <w:rFonts w:ascii="Calibri" w:hAnsi="Calibri" w:cs="Arial"/>
                          <w:color w:val="000000" w:themeColor="text1"/>
                          <w:kern w:val="24"/>
                          <w:sz w:val="20"/>
                          <w:szCs w:val="20"/>
                        </w:rPr>
                        <w:t xml:space="preserve">Who benefits? </w:t>
                      </w:r>
                    </w:p>
                    <w:p w14:paraId="41A4DB5E" w14:textId="77777777" w:rsidR="00C06637" w:rsidRPr="00C00328" w:rsidRDefault="00C06637" w:rsidP="00C06637">
                      <w:pPr>
                        <w:pStyle w:val="ListParagraph"/>
                        <w:numPr>
                          <w:ilvl w:val="0"/>
                          <w:numId w:val="28"/>
                        </w:numPr>
                        <w:spacing w:after="0" w:line="240" w:lineRule="auto"/>
                        <w:rPr>
                          <w:rFonts w:ascii="Calibri" w:hAnsi="Calibri" w:cs="Arial"/>
                          <w:color w:val="000000" w:themeColor="text1"/>
                          <w:kern w:val="24"/>
                          <w:sz w:val="20"/>
                          <w:szCs w:val="20"/>
                        </w:rPr>
                      </w:pPr>
                      <w:r w:rsidRPr="00C00328">
                        <w:rPr>
                          <w:rFonts w:ascii="Calibri" w:hAnsi="Calibri" w:cs="Arial"/>
                          <w:color w:val="000000" w:themeColor="text1"/>
                          <w:kern w:val="24"/>
                          <w:sz w:val="20"/>
                          <w:szCs w:val="20"/>
                        </w:rPr>
                        <w:t xml:space="preserve">Who is harmed? </w:t>
                      </w:r>
                    </w:p>
                    <w:p w14:paraId="6C808727" w14:textId="77777777" w:rsidR="00C06637" w:rsidRPr="00C00328" w:rsidRDefault="00C06637" w:rsidP="00C06637">
                      <w:pPr>
                        <w:pStyle w:val="ListParagraph"/>
                        <w:numPr>
                          <w:ilvl w:val="0"/>
                          <w:numId w:val="28"/>
                        </w:numPr>
                        <w:spacing w:after="0" w:line="240" w:lineRule="auto"/>
                        <w:rPr>
                          <w:rFonts w:ascii="Calibri" w:hAnsi="Calibri" w:cs="Arial"/>
                          <w:color w:val="000000" w:themeColor="text1"/>
                          <w:kern w:val="24"/>
                          <w:sz w:val="20"/>
                          <w:szCs w:val="20"/>
                        </w:rPr>
                      </w:pPr>
                      <w:r w:rsidRPr="00C00328">
                        <w:rPr>
                          <w:rFonts w:ascii="Calibri" w:hAnsi="Calibri" w:cs="Arial"/>
                          <w:color w:val="000000" w:themeColor="text1"/>
                          <w:kern w:val="24"/>
                          <w:sz w:val="20"/>
                          <w:szCs w:val="20"/>
                        </w:rPr>
                        <w:t>Who influences/who decides?</w:t>
                      </w:r>
                    </w:p>
                    <w:p w14:paraId="19CDD37D" w14:textId="77777777" w:rsidR="00C06637" w:rsidRPr="00C00328" w:rsidRDefault="00C06637" w:rsidP="00C06637">
                      <w:pPr>
                        <w:pStyle w:val="ListParagraph"/>
                        <w:numPr>
                          <w:ilvl w:val="0"/>
                          <w:numId w:val="28"/>
                        </w:numPr>
                        <w:spacing w:after="0" w:line="240" w:lineRule="auto"/>
                        <w:rPr>
                          <w:rFonts w:ascii="Calibri" w:hAnsi="Calibri" w:cs="Arial"/>
                          <w:color w:val="000000" w:themeColor="text1"/>
                          <w:kern w:val="24"/>
                          <w:sz w:val="20"/>
                          <w:szCs w:val="20"/>
                        </w:rPr>
                      </w:pPr>
                      <w:r w:rsidRPr="00C00328">
                        <w:rPr>
                          <w:rFonts w:ascii="Calibri" w:hAnsi="Calibri" w:cs="Arial"/>
                          <w:color w:val="000000" w:themeColor="text1"/>
                          <w:kern w:val="24"/>
                          <w:sz w:val="20"/>
                          <w:szCs w:val="20"/>
                        </w:rPr>
                        <w:t xml:space="preserve">What might be unintended consequences? </w:t>
                      </w:r>
                    </w:p>
                  </w:txbxContent>
                </v:textbox>
                <w10:anchorlock/>
              </v:shape>
            </w:pict>
          </mc:Fallback>
        </mc:AlternateContent>
      </w:r>
    </w:p>
    <w:p w14:paraId="385F9E90" w14:textId="77777777" w:rsidR="00C06637" w:rsidRPr="00A31FB0" w:rsidRDefault="00C06637" w:rsidP="00C06637">
      <w:pPr>
        <w:pStyle w:val="ListParagraph"/>
        <w:numPr>
          <w:ilvl w:val="1"/>
          <w:numId w:val="27"/>
        </w:numPr>
        <w:rPr>
          <w:rFonts w:asciiTheme="majorHAnsi" w:hAnsiTheme="majorHAnsi" w:cstheme="majorHAnsi"/>
        </w:rPr>
      </w:pPr>
      <w:r w:rsidRPr="00A31FB0">
        <w:rPr>
          <w:rFonts w:asciiTheme="majorHAnsi" w:hAnsiTheme="majorHAnsi" w:cstheme="majorHAnsi"/>
        </w:rPr>
        <w:t xml:space="preserve">Who are the partners that can help you </w:t>
      </w:r>
      <w:proofErr w:type="gramStart"/>
      <w:r w:rsidRPr="00A31FB0">
        <w:rPr>
          <w:rFonts w:asciiTheme="majorHAnsi" w:hAnsiTheme="majorHAnsi" w:cstheme="majorHAnsi"/>
        </w:rPr>
        <w:t>take action</w:t>
      </w:r>
      <w:proofErr w:type="gramEnd"/>
      <w:r w:rsidRPr="00A31FB0">
        <w:rPr>
          <w:rFonts w:asciiTheme="majorHAnsi" w:hAnsiTheme="majorHAnsi" w:cstheme="majorHAnsi"/>
        </w:rPr>
        <w:t xml:space="preserve">? </w:t>
      </w:r>
    </w:p>
    <w:p w14:paraId="4752D773" w14:textId="77777777" w:rsidR="00C06637" w:rsidRPr="00A31FB0" w:rsidRDefault="00C06637" w:rsidP="00C06637">
      <w:pPr>
        <w:pStyle w:val="ListParagraph"/>
        <w:numPr>
          <w:ilvl w:val="1"/>
          <w:numId w:val="27"/>
        </w:numPr>
        <w:rPr>
          <w:rFonts w:asciiTheme="majorHAnsi" w:hAnsiTheme="majorHAnsi" w:cstheme="majorHAnsi"/>
        </w:rPr>
      </w:pPr>
      <w:r w:rsidRPr="00A31FB0">
        <w:rPr>
          <w:rFonts w:asciiTheme="majorHAnsi" w:hAnsiTheme="majorHAnsi" w:cstheme="majorHAnsi"/>
        </w:rPr>
        <w:t>Which voices have you heard from?</w:t>
      </w:r>
    </w:p>
    <w:p w14:paraId="50202826" w14:textId="77777777" w:rsidR="00C06637" w:rsidRDefault="00C06637" w:rsidP="00C06637">
      <w:pPr>
        <w:pStyle w:val="ListParagraph"/>
        <w:numPr>
          <w:ilvl w:val="1"/>
          <w:numId w:val="27"/>
        </w:numPr>
        <w:rPr>
          <w:rFonts w:asciiTheme="majorHAnsi" w:hAnsiTheme="majorHAnsi" w:cstheme="majorHAnsi"/>
        </w:rPr>
      </w:pPr>
      <w:r w:rsidRPr="00A31FB0">
        <w:rPr>
          <w:rFonts w:asciiTheme="majorHAnsi" w:hAnsiTheme="majorHAnsi" w:cstheme="majorHAnsi"/>
        </w:rPr>
        <w:t xml:space="preserve">Who has been left out of the conversation so far? </w:t>
      </w:r>
    </w:p>
    <w:p w14:paraId="7CB11DAE" w14:textId="77777777" w:rsidR="00C06637" w:rsidRPr="00A31FB0" w:rsidRDefault="00C06637" w:rsidP="00C06637">
      <w:pPr>
        <w:pStyle w:val="ListParagraph"/>
        <w:numPr>
          <w:ilvl w:val="1"/>
          <w:numId w:val="27"/>
        </w:numPr>
        <w:rPr>
          <w:rFonts w:asciiTheme="majorHAnsi" w:hAnsiTheme="majorHAnsi" w:cstheme="majorHAnsi"/>
        </w:rPr>
      </w:pPr>
      <w:r>
        <w:rPr>
          <w:rFonts w:asciiTheme="majorHAnsi" w:hAnsiTheme="majorHAnsi" w:cstheme="majorHAnsi"/>
        </w:rPr>
        <w:t>Whose lived experiences are represented?</w:t>
      </w:r>
    </w:p>
    <w:p w14:paraId="31CCA149" w14:textId="77777777" w:rsidR="00C06637" w:rsidRPr="00A31FB0" w:rsidRDefault="00C06637" w:rsidP="00C06637">
      <w:pPr>
        <w:pStyle w:val="ListParagraph"/>
        <w:numPr>
          <w:ilvl w:val="1"/>
          <w:numId w:val="27"/>
        </w:numPr>
        <w:rPr>
          <w:rFonts w:asciiTheme="majorHAnsi" w:hAnsiTheme="majorHAnsi" w:cstheme="majorHAnsi"/>
        </w:rPr>
      </w:pPr>
      <w:r w:rsidRPr="00A31FB0">
        <w:rPr>
          <w:rFonts w:asciiTheme="majorHAnsi" w:hAnsiTheme="majorHAnsi" w:cstheme="majorHAnsi"/>
        </w:rPr>
        <w:t xml:space="preserve">Consider the reframing </w:t>
      </w:r>
      <w:proofErr w:type="gramStart"/>
      <w:r w:rsidRPr="00A31FB0">
        <w:rPr>
          <w:rFonts w:asciiTheme="majorHAnsi" w:hAnsiTheme="majorHAnsi" w:cstheme="majorHAnsi"/>
        </w:rPr>
        <w:t>questions</w:t>
      </w:r>
      <w:proofErr w:type="gramEnd"/>
      <w:r w:rsidRPr="00A31FB0">
        <w:rPr>
          <w:rFonts w:asciiTheme="majorHAnsi" w:hAnsiTheme="majorHAnsi" w:cstheme="majorHAnsi"/>
        </w:rPr>
        <w:t xml:space="preserve"> </w:t>
      </w:r>
    </w:p>
    <w:p w14:paraId="125437C7" w14:textId="77777777" w:rsidR="00C06637" w:rsidRPr="00A31FB0" w:rsidRDefault="00C06637" w:rsidP="00C06637">
      <w:pPr>
        <w:pStyle w:val="ListParagraph"/>
        <w:numPr>
          <w:ilvl w:val="1"/>
          <w:numId w:val="27"/>
        </w:numPr>
        <w:rPr>
          <w:rFonts w:asciiTheme="majorHAnsi" w:hAnsiTheme="majorHAnsi" w:cstheme="majorHAnsi"/>
        </w:rPr>
      </w:pPr>
      <w:r w:rsidRPr="00A31FB0">
        <w:rPr>
          <w:rFonts w:asciiTheme="majorHAnsi" w:hAnsiTheme="majorHAnsi" w:cstheme="majorHAnsi"/>
        </w:rPr>
        <w:t>These are your data to action partners!</w:t>
      </w:r>
    </w:p>
    <w:p w14:paraId="43EC80FE" w14:textId="77777777" w:rsidR="00C06637" w:rsidRPr="00A74B07" w:rsidRDefault="00C06637" w:rsidP="00C06637">
      <w:pPr>
        <w:pStyle w:val="ListParagraph"/>
        <w:numPr>
          <w:ilvl w:val="0"/>
          <w:numId w:val="27"/>
        </w:numPr>
        <w:rPr>
          <w:rFonts w:asciiTheme="majorHAnsi" w:hAnsiTheme="majorHAnsi" w:cstheme="majorHAnsi"/>
          <w:b/>
          <w:bCs/>
        </w:rPr>
      </w:pPr>
      <w:r w:rsidRPr="00A74B07">
        <w:rPr>
          <w:rFonts w:asciiTheme="majorHAnsi" w:hAnsiTheme="majorHAnsi" w:cstheme="majorHAnsi"/>
          <w:b/>
          <w:bCs/>
        </w:rPr>
        <w:t xml:space="preserve">Identify actions with </w:t>
      </w:r>
      <w:proofErr w:type="gramStart"/>
      <w:r w:rsidRPr="00A74B07">
        <w:rPr>
          <w:rFonts w:asciiTheme="majorHAnsi" w:hAnsiTheme="majorHAnsi" w:cstheme="majorHAnsi"/>
          <w:b/>
          <w:bCs/>
        </w:rPr>
        <w:t>partners</w:t>
      </w:r>
      <w:proofErr w:type="gramEnd"/>
      <w:r w:rsidRPr="00A74B07">
        <w:rPr>
          <w:rFonts w:asciiTheme="majorHAnsi" w:hAnsiTheme="majorHAnsi" w:cstheme="majorHAnsi"/>
          <w:b/>
          <w:bCs/>
        </w:rPr>
        <w:t xml:space="preserve"> </w:t>
      </w:r>
    </w:p>
    <w:p w14:paraId="631D76D9" w14:textId="77777777" w:rsidR="00C06637" w:rsidRPr="00A31FB0" w:rsidRDefault="00C06637" w:rsidP="00C06637">
      <w:pPr>
        <w:pStyle w:val="ListParagraph"/>
        <w:numPr>
          <w:ilvl w:val="1"/>
          <w:numId w:val="27"/>
        </w:numPr>
        <w:rPr>
          <w:rFonts w:asciiTheme="majorHAnsi" w:hAnsiTheme="majorHAnsi" w:cstheme="majorHAnsi"/>
        </w:rPr>
      </w:pPr>
      <w:r w:rsidRPr="00A31FB0">
        <w:rPr>
          <w:rFonts w:asciiTheme="majorHAnsi" w:hAnsiTheme="majorHAnsi" w:cstheme="majorHAnsi"/>
        </w:rPr>
        <w:t xml:space="preserve">What are some possible causes for the issues this data highlights? </w:t>
      </w:r>
    </w:p>
    <w:p w14:paraId="7C655638" w14:textId="77777777" w:rsidR="00C06637" w:rsidRPr="00A31FB0" w:rsidRDefault="00C06637" w:rsidP="00C06637">
      <w:pPr>
        <w:pStyle w:val="ListParagraph"/>
        <w:numPr>
          <w:ilvl w:val="1"/>
          <w:numId w:val="27"/>
        </w:numPr>
        <w:rPr>
          <w:rFonts w:asciiTheme="majorHAnsi" w:hAnsiTheme="majorHAnsi" w:cstheme="majorHAnsi"/>
        </w:rPr>
      </w:pPr>
      <w:r w:rsidRPr="00A31FB0">
        <w:rPr>
          <w:rFonts w:asciiTheme="majorHAnsi" w:hAnsiTheme="majorHAnsi" w:cstheme="majorHAnsi"/>
        </w:rPr>
        <w:t xml:space="preserve">What are possible solutions? </w:t>
      </w:r>
    </w:p>
    <w:p w14:paraId="56A9980E" w14:textId="77777777" w:rsidR="00C06637" w:rsidRPr="00A31FB0" w:rsidRDefault="00C06637" w:rsidP="00C06637">
      <w:pPr>
        <w:pStyle w:val="ListParagraph"/>
        <w:numPr>
          <w:ilvl w:val="1"/>
          <w:numId w:val="27"/>
        </w:numPr>
        <w:rPr>
          <w:rFonts w:asciiTheme="majorHAnsi" w:hAnsiTheme="majorHAnsi" w:cstheme="majorHAnsi"/>
        </w:rPr>
      </w:pPr>
      <w:r w:rsidRPr="00A31FB0">
        <w:rPr>
          <w:rFonts w:asciiTheme="majorHAnsi" w:hAnsiTheme="majorHAnsi" w:cstheme="majorHAnsi"/>
        </w:rPr>
        <w:t xml:space="preserve">What is the underlying system issue(s)? </w:t>
      </w:r>
    </w:p>
    <w:p w14:paraId="433B38B6" w14:textId="77777777" w:rsidR="00C06637" w:rsidRPr="00A31FB0" w:rsidRDefault="00C06637" w:rsidP="00C06637">
      <w:pPr>
        <w:pStyle w:val="ListParagraph"/>
        <w:numPr>
          <w:ilvl w:val="1"/>
          <w:numId w:val="27"/>
        </w:numPr>
        <w:rPr>
          <w:rFonts w:asciiTheme="majorHAnsi" w:hAnsiTheme="majorHAnsi" w:cstheme="majorHAnsi"/>
        </w:rPr>
      </w:pPr>
      <w:r w:rsidRPr="00A31FB0">
        <w:rPr>
          <w:rFonts w:asciiTheme="majorHAnsi" w:hAnsiTheme="majorHAnsi" w:cstheme="majorHAnsi"/>
        </w:rPr>
        <w:lastRenderedPageBreak/>
        <w:t xml:space="preserve">Are there actions you are already taking or could take that relate to this finding? </w:t>
      </w:r>
    </w:p>
    <w:p w14:paraId="51FB7FF9" w14:textId="77777777" w:rsidR="00C06637" w:rsidRPr="00A31FB0" w:rsidRDefault="00C06637" w:rsidP="00C06637">
      <w:pPr>
        <w:pStyle w:val="ListParagraph"/>
        <w:numPr>
          <w:ilvl w:val="1"/>
          <w:numId w:val="27"/>
        </w:numPr>
        <w:rPr>
          <w:rFonts w:asciiTheme="majorHAnsi" w:hAnsiTheme="majorHAnsi" w:cstheme="majorHAnsi"/>
        </w:rPr>
      </w:pPr>
      <w:r w:rsidRPr="00A31FB0">
        <w:rPr>
          <w:rFonts w:asciiTheme="majorHAnsi" w:hAnsiTheme="majorHAnsi" w:cstheme="majorHAnsi"/>
        </w:rPr>
        <w:t xml:space="preserve">Are there actions you can take right now? Actions you can take </w:t>
      </w:r>
      <w:proofErr w:type="gramStart"/>
      <w:r w:rsidRPr="00A31FB0">
        <w:rPr>
          <w:rFonts w:asciiTheme="majorHAnsi" w:hAnsiTheme="majorHAnsi" w:cstheme="majorHAnsi"/>
        </w:rPr>
        <w:t>soon?</w:t>
      </w:r>
      <w:proofErr w:type="gramEnd"/>
      <w:r w:rsidRPr="00A31FB0">
        <w:rPr>
          <w:rFonts w:asciiTheme="majorHAnsi" w:hAnsiTheme="majorHAnsi" w:cstheme="majorHAnsi"/>
        </w:rPr>
        <w:t xml:space="preserve"> When?</w:t>
      </w:r>
    </w:p>
    <w:p w14:paraId="386955D7" w14:textId="77777777" w:rsidR="00C06637" w:rsidRPr="00A31FB0" w:rsidRDefault="00C06637" w:rsidP="00C06637">
      <w:pPr>
        <w:pStyle w:val="ListParagraph"/>
        <w:numPr>
          <w:ilvl w:val="1"/>
          <w:numId w:val="27"/>
        </w:numPr>
        <w:rPr>
          <w:rFonts w:asciiTheme="majorHAnsi" w:hAnsiTheme="majorHAnsi" w:cstheme="majorHAnsi"/>
        </w:rPr>
      </w:pPr>
      <w:r w:rsidRPr="00A31FB0">
        <w:rPr>
          <w:rFonts w:asciiTheme="majorHAnsi" w:hAnsiTheme="majorHAnsi" w:cstheme="majorHAnsi"/>
        </w:rPr>
        <w:t>Are there actions someone else can take? Who?</w:t>
      </w:r>
    </w:p>
    <w:p w14:paraId="3C0EDF8A" w14:textId="77777777" w:rsidR="00C06637" w:rsidRPr="00A31FB0" w:rsidRDefault="00C06637" w:rsidP="00C06637">
      <w:pPr>
        <w:pStyle w:val="ListParagraph"/>
        <w:numPr>
          <w:ilvl w:val="1"/>
          <w:numId w:val="27"/>
        </w:numPr>
        <w:rPr>
          <w:rFonts w:asciiTheme="majorHAnsi" w:hAnsiTheme="majorHAnsi" w:cstheme="majorHAnsi"/>
        </w:rPr>
      </w:pPr>
      <w:r w:rsidRPr="00A31FB0">
        <w:rPr>
          <w:rFonts w:asciiTheme="majorHAnsi" w:hAnsiTheme="majorHAnsi" w:cstheme="majorHAnsi"/>
        </w:rPr>
        <w:t xml:space="preserve">How can you engage others in data-to-action conversations? </w:t>
      </w:r>
    </w:p>
    <w:p w14:paraId="21A28115" w14:textId="77777777" w:rsidR="00C06637" w:rsidRPr="00A31FB0" w:rsidRDefault="00C06637" w:rsidP="00C06637">
      <w:pPr>
        <w:pStyle w:val="ListParagraph"/>
        <w:numPr>
          <w:ilvl w:val="1"/>
          <w:numId w:val="27"/>
        </w:numPr>
        <w:rPr>
          <w:rFonts w:asciiTheme="majorHAnsi" w:hAnsiTheme="majorHAnsi" w:cstheme="majorHAnsi"/>
        </w:rPr>
      </w:pPr>
      <w:r w:rsidRPr="00A31FB0">
        <w:rPr>
          <w:rFonts w:asciiTheme="majorHAnsi" w:hAnsiTheme="majorHAnsi" w:cstheme="majorHAnsi"/>
        </w:rPr>
        <w:t xml:space="preserve">Who should see the data? </w:t>
      </w:r>
    </w:p>
    <w:p w14:paraId="723ED532" w14:textId="77777777" w:rsidR="00C06637" w:rsidRPr="00A74B07" w:rsidRDefault="00C06637" w:rsidP="00C06637">
      <w:pPr>
        <w:pStyle w:val="ListParagraph"/>
        <w:numPr>
          <w:ilvl w:val="0"/>
          <w:numId w:val="27"/>
        </w:numPr>
        <w:rPr>
          <w:rFonts w:asciiTheme="majorHAnsi" w:hAnsiTheme="majorHAnsi" w:cstheme="majorHAnsi"/>
          <w:b/>
          <w:bCs/>
        </w:rPr>
      </w:pPr>
      <w:r w:rsidRPr="00A74B07">
        <w:rPr>
          <w:rFonts w:asciiTheme="majorHAnsi" w:hAnsiTheme="majorHAnsi" w:cstheme="majorHAnsi"/>
          <w:b/>
          <w:bCs/>
        </w:rPr>
        <w:t xml:space="preserve">Make a plan and keep checking with </w:t>
      </w:r>
      <w:proofErr w:type="gramStart"/>
      <w:r w:rsidRPr="00A74B07">
        <w:rPr>
          <w:rFonts w:asciiTheme="majorHAnsi" w:hAnsiTheme="majorHAnsi" w:cstheme="majorHAnsi"/>
          <w:b/>
          <w:bCs/>
        </w:rPr>
        <w:t>partners</w:t>
      </w:r>
      <w:proofErr w:type="gramEnd"/>
      <w:r w:rsidRPr="00A74B07">
        <w:rPr>
          <w:rFonts w:asciiTheme="majorHAnsi" w:hAnsiTheme="majorHAnsi" w:cstheme="majorHAnsi"/>
          <w:b/>
          <w:bCs/>
        </w:rPr>
        <w:t xml:space="preserve"> </w:t>
      </w:r>
    </w:p>
    <w:p w14:paraId="6F85E5CF" w14:textId="77777777" w:rsidR="00C06637" w:rsidRPr="00DA5FF0" w:rsidRDefault="00C06637" w:rsidP="00C06637">
      <w:pPr>
        <w:ind w:left="1080"/>
        <w:rPr>
          <w:rFonts w:asciiTheme="majorHAnsi" w:hAnsiTheme="majorHAnsi" w:cstheme="majorHAnsi"/>
        </w:rPr>
      </w:pPr>
      <w:r w:rsidRPr="00A31FB0">
        <w:rPr>
          <w:noProof/>
        </w:rPr>
        <mc:AlternateContent>
          <mc:Choice Requires="wps">
            <w:drawing>
              <wp:inline distT="0" distB="0" distL="0" distR="0" wp14:anchorId="3C449120" wp14:editId="2D804893">
                <wp:extent cx="1797087" cy="597267"/>
                <wp:effectExtent l="0" t="0" r="12700" b="12700"/>
                <wp:docPr id="4" name="Text Box 4">
                  <a:extLst xmlns:a="http://schemas.openxmlformats.org/drawingml/2006/main">
                    <a:ext uri="{FF2B5EF4-FFF2-40B4-BE49-F238E27FC236}">
                      <a16:creationId xmlns:a16="http://schemas.microsoft.com/office/drawing/2014/main" id="{A7E16335-71DB-9C12-2C50-CDDA03D93746}"/>
                    </a:ext>
                  </a:extLst>
                </wp:docPr>
                <wp:cNvGraphicFramePr/>
                <a:graphic xmlns:a="http://schemas.openxmlformats.org/drawingml/2006/main">
                  <a:graphicData uri="http://schemas.microsoft.com/office/word/2010/wordprocessingShape">
                    <wps:wsp>
                      <wps:cNvSpPr txBox="1"/>
                      <wps:spPr>
                        <a:xfrm>
                          <a:off x="0" y="0"/>
                          <a:ext cx="1797087" cy="597267"/>
                        </a:xfrm>
                        <a:prstGeom prst="rect">
                          <a:avLst/>
                        </a:prstGeom>
                        <a:solidFill>
                          <a:schemeClr val="bg2"/>
                        </a:solidFill>
                        <a:ln>
                          <a:solidFill>
                            <a:schemeClr val="bg2">
                              <a:lumMod val="50000"/>
                            </a:schemeClr>
                          </a:solidFill>
                        </a:ln>
                      </wps:spPr>
                      <wps:txbx>
                        <w:txbxContent>
                          <w:p w14:paraId="45ED6484" w14:textId="77777777" w:rsidR="00C06637" w:rsidRPr="00C00328" w:rsidRDefault="00C06637" w:rsidP="00C06637">
                            <w:pPr>
                              <w:rPr>
                                <w:rFonts w:ascii="Calibri" w:hAnsi="Calibri" w:cs="Arial"/>
                                <w:color w:val="000000" w:themeColor="text1"/>
                                <w:kern w:val="24"/>
                                <w:sz w:val="20"/>
                                <w:szCs w:val="20"/>
                              </w:rPr>
                            </w:pPr>
                            <w:r w:rsidRPr="00C00328">
                              <w:rPr>
                                <w:rFonts w:ascii="Calibri" w:hAnsi="Calibri" w:cs="Arial"/>
                                <w:color w:val="000000" w:themeColor="text1"/>
                                <w:kern w:val="24"/>
                                <w:sz w:val="20"/>
                                <w:szCs w:val="20"/>
                              </w:rPr>
                              <w:t xml:space="preserve">Ask the Racial Justice Reframing questions every time you revisit your work </w:t>
                            </w:r>
                            <w:proofErr w:type="gramStart"/>
                            <w:r w:rsidRPr="00C00328">
                              <w:rPr>
                                <w:rFonts w:ascii="Calibri" w:hAnsi="Calibri" w:cs="Arial"/>
                                <w:color w:val="000000" w:themeColor="text1"/>
                                <w:kern w:val="24"/>
                                <w:sz w:val="20"/>
                                <w:szCs w:val="20"/>
                              </w:rPr>
                              <w:t>plan</w:t>
                            </w:r>
                            <w:proofErr w:type="gramEnd"/>
                          </w:p>
                        </w:txbxContent>
                      </wps:txbx>
                      <wps:bodyPr wrap="square" rtlCol="0">
                        <a:noAutofit/>
                      </wps:bodyPr>
                    </wps:wsp>
                  </a:graphicData>
                </a:graphic>
              </wp:inline>
            </w:drawing>
          </mc:Choice>
          <mc:Fallback>
            <w:pict>
              <v:shape w14:anchorId="3C449120" id="Text Box 4" o:spid="_x0000_s1027" type="#_x0000_t202" style="width:141.5pt;height: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" fillcolor="#e7e6e6 [3214]" strokecolor="#747070 [1614]">
                <v:textbox>
                  <w:txbxContent>
                    <w:p w14:paraId="45ED6484" w14:textId="77777777" w:rsidR="00C06637" w:rsidRPr="00C00328" w:rsidRDefault="00C06637" w:rsidP="00C06637">
                      <w:pPr>
                        <w:rPr>
                          <w:rFonts w:ascii="Calibri" w:hAnsi="Calibri" w:cs="Arial"/>
                          <w:color w:val="000000" w:themeColor="text1"/>
                          <w:kern w:val="24"/>
                          <w:sz w:val="20"/>
                          <w:szCs w:val="20"/>
                        </w:rPr>
                      </w:pPr>
                      <w:r w:rsidRPr="00C00328">
                        <w:rPr>
                          <w:rFonts w:ascii="Calibri" w:hAnsi="Calibri" w:cs="Arial"/>
                          <w:color w:val="000000" w:themeColor="text1"/>
                          <w:kern w:val="24"/>
                          <w:sz w:val="20"/>
                          <w:szCs w:val="20"/>
                        </w:rPr>
                        <w:t xml:space="preserve">Ask the Racial Justice Reframing questions every time you revisit your work </w:t>
                      </w:r>
                      <w:proofErr w:type="gramStart"/>
                      <w:r w:rsidRPr="00C00328">
                        <w:rPr>
                          <w:rFonts w:ascii="Calibri" w:hAnsi="Calibri" w:cs="Arial"/>
                          <w:color w:val="000000" w:themeColor="text1"/>
                          <w:kern w:val="24"/>
                          <w:sz w:val="20"/>
                          <w:szCs w:val="20"/>
                        </w:rPr>
                        <w:t>plan</w:t>
                      </w:r>
                      <w:proofErr w:type="gramEnd"/>
                    </w:p>
                  </w:txbxContent>
                </v:textbox>
                <w10:anchorlock/>
              </v:shape>
            </w:pict>
          </mc:Fallback>
        </mc:AlternateContent>
      </w:r>
    </w:p>
    <w:p w14:paraId="7ECE1FC5" w14:textId="77777777" w:rsidR="00C06637" w:rsidRPr="00A31FB0" w:rsidRDefault="00C06637" w:rsidP="00C06637">
      <w:pPr>
        <w:pStyle w:val="ListParagraph"/>
        <w:numPr>
          <w:ilvl w:val="1"/>
          <w:numId w:val="27"/>
        </w:numPr>
        <w:rPr>
          <w:rFonts w:asciiTheme="majorHAnsi" w:hAnsiTheme="majorHAnsi" w:cstheme="majorHAnsi"/>
        </w:rPr>
      </w:pPr>
      <w:r w:rsidRPr="00A31FB0">
        <w:rPr>
          <w:rFonts w:asciiTheme="majorHAnsi" w:hAnsiTheme="majorHAnsi" w:cstheme="majorHAnsi"/>
        </w:rPr>
        <w:t xml:space="preserve">Turn your answers into a work plan and share </w:t>
      </w:r>
      <w:proofErr w:type="gramStart"/>
      <w:r w:rsidRPr="00A31FB0">
        <w:rPr>
          <w:rFonts w:asciiTheme="majorHAnsi" w:hAnsiTheme="majorHAnsi" w:cstheme="majorHAnsi"/>
        </w:rPr>
        <w:t>it</w:t>
      </w:r>
      <w:proofErr w:type="gramEnd"/>
      <w:r w:rsidRPr="00A31FB0">
        <w:rPr>
          <w:rFonts w:asciiTheme="majorHAnsi" w:hAnsiTheme="majorHAnsi" w:cstheme="majorHAnsi"/>
        </w:rPr>
        <w:t xml:space="preserve"> </w:t>
      </w:r>
    </w:p>
    <w:p w14:paraId="44A5C639" w14:textId="77777777" w:rsidR="00C06637" w:rsidRPr="00A31FB0" w:rsidRDefault="00C06637" w:rsidP="00C06637">
      <w:pPr>
        <w:pStyle w:val="ListParagraph"/>
        <w:numPr>
          <w:ilvl w:val="1"/>
          <w:numId w:val="27"/>
        </w:numPr>
        <w:rPr>
          <w:rFonts w:asciiTheme="majorHAnsi" w:hAnsiTheme="majorHAnsi" w:cstheme="majorHAnsi"/>
        </w:rPr>
      </w:pPr>
      <w:r w:rsidRPr="00A31FB0">
        <w:rPr>
          <w:rFonts w:asciiTheme="majorHAnsi" w:hAnsiTheme="majorHAnsi" w:cstheme="majorHAnsi"/>
        </w:rPr>
        <w:t xml:space="preserve">Follow the plan – act with partners now and </w:t>
      </w:r>
      <w:proofErr w:type="gramStart"/>
      <w:r w:rsidRPr="00A31FB0">
        <w:rPr>
          <w:rFonts w:asciiTheme="majorHAnsi" w:hAnsiTheme="majorHAnsi" w:cstheme="majorHAnsi"/>
        </w:rPr>
        <w:t>later</w:t>
      </w:r>
      <w:proofErr w:type="gramEnd"/>
      <w:r w:rsidRPr="00A31FB0">
        <w:rPr>
          <w:rFonts w:asciiTheme="majorHAnsi" w:hAnsiTheme="majorHAnsi" w:cstheme="majorHAnsi"/>
        </w:rPr>
        <w:t xml:space="preserve"> </w:t>
      </w:r>
    </w:p>
    <w:p w14:paraId="26B243B6" w14:textId="77777777" w:rsidR="00C06637" w:rsidRPr="00A31FB0" w:rsidRDefault="00C06637" w:rsidP="00C06637">
      <w:pPr>
        <w:pStyle w:val="ListParagraph"/>
        <w:numPr>
          <w:ilvl w:val="1"/>
          <w:numId w:val="27"/>
        </w:numPr>
        <w:rPr>
          <w:rFonts w:asciiTheme="majorHAnsi" w:hAnsiTheme="majorHAnsi" w:cstheme="majorHAnsi"/>
        </w:rPr>
      </w:pPr>
      <w:r w:rsidRPr="00A31FB0">
        <w:rPr>
          <w:rFonts w:asciiTheme="majorHAnsi" w:hAnsiTheme="majorHAnsi" w:cstheme="majorHAnsi"/>
        </w:rPr>
        <w:t xml:space="preserve">Include the actions in funding opportunities to increase </w:t>
      </w:r>
      <w:proofErr w:type="gramStart"/>
      <w:r w:rsidRPr="00A31FB0">
        <w:rPr>
          <w:rFonts w:asciiTheme="majorHAnsi" w:hAnsiTheme="majorHAnsi" w:cstheme="majorHAnsi"/>
        </w:rPr>
        <w:t>capacity</w:t>
      </w:r>
      <w:proofErr w:type="gramEnd"/>
    </w:p>
    <w:p w14:paraId="1FDC7024" w14:textId="77777777" w:rsidR="00C06637" w:rsidRPr="00A31FB0" w:rsidRDefault="00C06637" w:rsidP="00C06637">
      <w:pPr>
        <w:pStyle w:val="ListParagraph"/>
        <w:numPr>
          <w:ilvl w:val="1"/>
          <w:numId w:val="27"/>
        </w:numPr>
        <w:rPr>
          <w:rFonts w:asciiTheme="majorHAnsi" w:hAnsiTheme="majorHAnsi" w:cstheme="majorHAnsi"/>
        </w:rPr>
      </w:pPr>
      <w:r w:rsidRPr="00A31FB0">
        <w:rPr>
          <w:rFonts w:asciiTheme="majorHAnsi" w:hAnsiTheme="majorHAnsi" w:cstheme="majorHAnsi"/>
        </w:rPr>
        <w:t xml:space="preserve">Check in with partners about progress on the work </w:t>
      </w:r>
      <w:proofErr w:type="gramStart"/>
      <w:r w:rsidRPr="00A31FB0">
        <w:rPr>
          <w:rFonts w:asciiTheme="majorHAnsi" w:hAnsiTheme="majorHAnsi" w:cstheme="majorHAnsi"/>
        </w:rPr>
        <w:t>plan</w:t>
      </w:r>
      <w:proofErr w:type="gramEnd"/>
      <w:r w:rsidRPr="00A31FB0">
        <w:rPr>
          <w:rFonts w:asciiTheme="majorHAnsi" w:hAnsiTheme="majorHAnsi" w:cstheme="majorHAnsi"/>
        </w:rPr>
        <w:t xml:space="preserve"> </w:t>
      </w:r>
    </w:p>
    <w:p w14:paraId="66C6D271" w14:textId="77777777" w:rsidR="00C06637" w:rsidRPr="00A31FB0" w:rsidRDefault="00C06637" w:rsidP="00C06637">
      <w:pPr>
        <w:pStyle w:val="ListParagraph"/>
        <w:numPr>
          <w:ilvl w:val="1"/>
          <w:numId w:val="27"/>
        </w:numPr>
        <w:rPr>
          <w:rFonts w:asciiTheme="majorHAnsi" w:hAnsiTheme="majorHAnsi" w:cstheme="majorHAnsi"/>
        </w:rPr>
      </w:pPr>
      <w:r w:rsidRPr="00A31FB0">
        <w:rPr>
          <w:rFonts w:asciiTheme="majorHAnsi" w:hAnsiTheme="majorHAnsi" w:cstheme="majorHAnsi"/>
        </w:rPr>
        <w:t xml:space="preserve">Relate short-term change to long-term </w:t>
      </w:r>
      <w:proofErr w:type="gramStart"/>
      <w:r w:rsidRPr="00A31FB0">
        <w:rPr>
          <w:rFonts w:asciiTheme="majorHAnsi" w:hAnsiTheme="majorHAnsi" w:cstheme="majorHAnsi"/>
        </w:rPr>
        <w:t>solutions</w:t>
      </w:r>
      <w:proofErr w:type="gramEnd"/>
      <w:r w:rsidRPr="00A31FB0">
        <w:rPr>
          <w:rFonts w:asciiTheme="majorHAnsi" w:hAnsiTheme="majorHAnsi" w:cstheme="majorHAnsi"/>
        </w:rPr>
        <w:t xml:space="preserve"> </w:t>
      </w:r>
    </w:p>
    <w:p w14:paraId="7484302F" w14:textId="77777777" w:rsidR="00C06637" w:rsidRPr="00A74B07" w:rsidRDefault="00C06637" w:rsidP="00C06637">
      <w:pPr>
        <w:pStyle w:val="ListParagraph"/>
        <w:numPr>
          <w:ilvl w:val="0"/>
          <w:numId w:val="27"/>
        </w:numPr>
        <w:rPr>
          <w:rFonts w:asciiTheme="majorHAnsi" w:hAnsiTheme="majorHAnsi" w:cstheme="majorHAnsi"/>
          <w:b/>
          <w:bCs/>
        </w:rPr>
      </w:pPr>
      <w:r w:rsidRPr="00A74B07">
        <w:rPr>
          <w:rFonts w:asciiTheme="majorHAnsi" w:hAnsiTheme="majorHAnsi" w:cstheme="majorHAnsi"/>
          <w:b/>
          <w:bCs/>
        </w:rPr>
        <w:t>Repeat</w:t>
      </w:r>
    </w:p>
    <w:p w14:paraId="0E3973F0" w14:textId="77777777" w:rsidR="00C06637" w:rsidRPr="00AE6BB5" w:rsidRDefault="00C06637" w:rsidP="00C06637">
      <w:pPr>
        <w:pStyle w:val="ListParagraph"/>
        <w:numPr>
          <w:ilvl w:val="1"/>
          <w:numId w:val="27"/>
        </w:numPr>
        <w:rPr>
          <w:rFonts w:asciiTheme="majorHAnsi" w:hAnsiTheme="majorHAnsi" w:cstheme="majorHAnsi"/>
        </w:rPr>
      </w:pPr>
      <w:r w:rsidRPr="00A31FB0">
        <w:rPr>
          <w:rFonts w:asciiTheme="majorHAnsi" w:hAnsiTheme="majorHAnsi" w:cstheme="majorHAnsi"/>
        </w:rPr>
        <w:t>Find more data, check back for updates, and repeat the steps!</w:t>
      </w:r>
    </w:p>
    <w:p w14:paraId="4D217137" w14:textId="77777777" w:rsidR="00C06637" w:rsidRPr="00614CF2" w:rsidRDefault="00C06637" w:rsidP="00C06637">
      <w:pPr>
        <w:pStyle w:val="Heading2"/>
        <w:rPr>
          <w:rFonts w:ascii="Segoe UI" w:eastAsia="Times New Roman" w:hAnsi="Segoe UI" w:cs="Segoe UI"/>
          <w:sz w:val="18"/>
          <w:szCs w:val="18"/>
        </w:rPr>
      </w:pPr>
      <w:bookmarkStart w:id="50" w:name="_Toc151373123"/>
      <w:bookmarkStart w:id="51" w:name="_Toc155626830"/>
      <w:r w:rsidRPr="00614CF2">
        <w:rPr>
          <w:rFonts w:eastAsia="Times New Roman"/>
        </w:rPr>
        <w:t>Topic-Specific Information</w:t>
      </w:r>
      <w:bookmarkEnd w:id="46"/>
      <w:bookmarkEnd w:id="50"/>
      <w:bookmarkEnd w:id="51"/>
      <w:r w:rsidRPr="00614CF2">
        <w:rPr>
          <w:rFonts w:eastAsia="Times New Roman"/>
        </w:rPr>
        <w:t> </w:t>
      </w:r>
    </w:p>
    <w:p w14:paraId="17011935" w14:textId="77777777" w:rsidR="00C06637" w:rsidRPr="00614CF2" w:rsidRDefault="00C06637" w:rsidP="00C06637">
      <w:pPr>
        <w:rPr>
          <w:rFonts w:ascii="Segoe UI" w:hAnsi="Segoe UI" w:cs="Segoe UI"/>
          <w:sz w:val="18"/>
          <w:szCs w:val="18"/>
        </w:rPr>
      </w:pPr>
      <w:r w:rsidRPr="00614CF2">
        <w:t xml:space="preserve">This section provides additional topic-specific information that can aid users’ understanding of specific </w:t>
      </w:r>
      <w:r>
        <w:t>P</w:t>
      </w:r>
      <w:r w:rsidRPr="00614CF2">
        <w:t xml:space="preserve">CEs &amp; </w:t>
      </w:r>
      <w:r>
        <w:t>A</w:t>
      </w:r>
      <w:r w:rsidRPr="00614CF2">
        <w:t xml:space="preserve">CEs </w:t>
      </w:r>
      <w:proofErr w:type="gramStart"/>
      <w:r w:rsidRPr="00614CF2">
        <w:t>topics, and</w:t>
      </w:r>
      <w:proofErr w:type="gramEnd"/>
      <w:r w:rsidRPr="00614CF2">
        <w:t xml:space="preserve"> provides context for interpretations users might develop from the dashboard.  </w:t>
      </w:r>
    </w:p>
    <w:p w14:paraId="2030D202" w14:textId="77777777" w:rsidR="00C06637" w:rsidRPr="00614CF2" w:rsidRDefault="00C06637" w:rsidP="00C06637">
      <w:pPr>
        <w:pStyle w:val="Heading3"/>
        <w:rPr>
          <w:rFonts w:ascii="Segoe UI" w:eastAsia="Times New Roman" w:hAnsi="Segoe UI" w:cs="Segoe UI"/>
          <w:sz w:val="18"/>
          <w:szCs w:val="18"/>
        </w:rPr>
      </w:pPr>
      <w:bookmarkStart w:id="52" w:name="_Toc143086316"/>
      <w:r w:rsidRPr="00614CF2">
        <w:rPr>
          <w:rFonts w:eastAsia="Times New Roman"/>
        </w:rPr>
        <w:t>Positive Childhood Experiences (PCEs)</w:t>
      </w:r>
      <w:bookmarkEnd w:id="52"/>
      <w:r w:rsidRPr="00614CF2">
        <w:rPr>
          <w:rFonts w:eastAsia="Times New Roman"/>
        </w:rPr>
        <w:t> </w:t>
      </w:r>
    </w:p>
    <w:p w14:paraId="0BF562B5" w14:textId="77777777" w:rsidR="00C06637" w:rsidRPr="00614CF2" w:rsidRDefault="00C06637" w:rsidP="00C06637">
      <w:pPr>
        <w:rPr>
          <w:rFonts w:ascii="Segoe UI" w:hAnsi="Segoe UI" w:cs="Segoe UI"/>
          <w:sz w:val="18"/>
          <w:szCs w:val="18"/>
        </w:rPr>
      </w:pPr>
      <w:r w:rsidRPr="00614CF2">
        <w:t xml:space="preserve">PCEs are things that promote safe, stable, and nurturing relationships or environments in a child’s life, such as having an adult to talk to, or feeling safe within their home environment. These experiences buffer, or mitigate, the impact of toxic stress from ACEs by increasing the development of children’s physical, social, behavioral, and intellectual capacities. Reducing the impact of toxic stress reduces the likelihood of risk-taking behaviors and negative health outcomes. </w:t>
      </w:r>
      <w:r>
        <w:t>R</w:t>
      </w:r>
      <w:r w:rsidRPr="00614CF2">
        <w:t xml:space="preserve">esearch </w:t>
      </w:r>
      <w:r>
        <w:t xml:space="preserve">also </w:t>
      </w:r>
      <w:r w:rsidRPr="00614CF2">
        <w:t>has established that as the number of PCEs increases, the risk of negative health outcomes decreases in a dose-response relationship. </w:t>
      </w:r>
    </w:p>
    <w:p w14:paraId="5FD87445" w14:textId="77777777" w:rsidR="00C06637" w:rsidRPr="00614CF2" w:rsidRDefault="00C06637" w:rsidP="00C06637">
      <w:pPr>
        <w:rPr>
          <w:rFonts w:ascii="Segoe UI" w:hAnsi="Segoe UI" w:cs="Segoe UI"/>
          <w:sz w:val="18"/>
          <w:szCs w:val="18"/>
        </w:rPr>
      </w:pPr>
      <w:r w:rsidRPr="00614CF2">
        <w:t xml:space="preserve">DPH has worked with Tufts University’s </w:t>
      </w:r>
      <w:hyperlink r:id="rId58" w:tgtFrame="_blank" w:history="1">
        <w:r w:rsidRPr="00101C02">
          <w:rPr>
            <w:color w:val="0000FF"/>
            <w:u w:val="single"/>
          </w:rPr>
          <w:t>Healthy Outcomes from Positive Experiences</w:t>
        </w:r>
      </w:hyperlink>
      <w:r w:rsidRPr="00614CF2">
        <w:t xml:space="preserve"> researchers to think about PCEs to include in this dashboard. HOPE’s </w:t>
      </w:r>
      <w:r w:rsidRPr="00614CF2">
        <w:rPr>
          <w:i/>
          <w:iCs/>
        </w:rPr>
        <w:t xml:space="preserve">Building Blocks of HOPE </w:t>
      </w:r>
      <w:r w:rsidRPr="00614CF2">
        <w:t xml:space="preserve">framework supports thinking about experiences that promote positive relationships, positive engagement, positive environments, and opportunities for </w:t>
      </w:r>
      <w:r>
        <w:t>social-emotional</w:t>
      </w:r>
      <w:r w:rsidRPr="00614CF2">
        <w:t xml:space="preserve"> development. When viewing PCEs in the dashboard, it’s important to know that higher percentages of the specific PCE is desirable. The more residents have PCEs, the more residents can thrive and reduce the impact of ACEs and grow into healthy adults and respond to adversity in the future. Seeing disparities in PCEs among populations within a population group identifies opportunities to promote specific PCEs for those groups.  </w:t>
      </w:r>
    </w:p>
    <w:p w14:paraId="0DF175F4" w14:textId="77777777" w:rsidR="00C06637" w:rsidRPr="00614CF2" w:rsidRDefault="00C06637" w:rsidP="00C06637">
      <w:pPr>
        <w:rPr>
          <w:rFonts w:ascii="Segoe UI" w:hAnsi="Segoe UI" w:cs="Segoe UI"/>
          <w:sz w:val="18"/>
          <w:szCs w:val="18"/>
        </w:rPr>
      </w:pPr>
      <w:r w:rsidRPr="00614CF2">
        <w:t xml:space="preserve">More information about how parents, caregivers, and community members can support positive experiences for children in the Commonwealth can be found here: </w:t>
      </w:r>
      <w:hyperlink r:id="rId59" w:tgtFrame="_blank" w:history="1">
        <w:r w:rsidRPr="00614CF2">
          <w:rPr>
            <w:color w:val="0000FF"/>
            <w:u w:val="single"/>
          </w:rPr>
          <w:t>The Power of Positive Childhood Experiences | Mass.gov</w:t>
        </w:r>
      </w:hyperlink>
      <w:r w:rsidRPr="00614CF2">
        <w:t>. This website provides information for families and community members about PCEs and resources and services available to families across the State. </w:t>
      </w:r>
    </w:p>
    <w:p w14:paraId="0346C0ED" w14:textId="77777777" w:rsidR="00C06637" w:rsidRPr="00614CF2" w:rsidRDefault="00C06637" w:rsidP="00C06637">
      <w:pPr>
        <w:pStyle w:val="Heading3"/>
        <w:rPr>
          <w:rFonts w:ascii="Segoe UI" w:eastAsia="Times New Roman" w:hAnsi="Segoe UI" w:cs="Segoe UI"/>
          <w:sz w:val="18"/>
          <w:szCs w:val="18"/>
        </w:rPr>
      </w:pPr>
      <w:bookmarkStart w:id="53" w:name="_Toc143086317"/>
      <w:r w:rsidRPr="00614CF2">
        <w:rPr>
          <w:rFonts w:eastAsia="Times New Roman"/>
        </w:rPr>
        <w:lastRenderedPageBreak/>
        <w:t>Adverse Childhood Experiences (ACEs)</w:t>
      </w:r>
      <w:bookmarkEnd w:id="53"/>
      <w:r w:rsidRPr="00614CF2">
        <w:rPr>
          <w:rFonts w:eastAsia="Times New Roman"/>
        </w:rPr>
        <w:t> </w:t>
      </w:r>
    </w:p>
    <w:p w14:paraId="4C63E8D0" w14:textId="77777777" w:rsidR="00C06637" w:rsidRPr="00614CF2" w:rsidRDefault="00C06637" w:rsidP="00C06637">
      <w:pPr>
        <w:rPr>
          <w:rFonts w:ascii="Segoe UI" w:hAnsi="Segoe UI" w:cs="Segoe UI"/>
          <w:sz w:val="18"/>
          <w:szCs w:val="18"/>
        </w:rPr>
      </w:pPr>
      <w:r w:rsidRPr="00614CF2">
        <w:t xml:space="preserve">ACEs are things that happen in childhood (0-17 years old) that cause toxic stress throughout a person’s life. Toxic stress from these experiences affects the brain, how it develops, and how someone’s body will respond to stress in the future. Previous research has linked toxic stress to risk-taking behaviors (like substance misuse) and negative health outcomes in adulthood (like chronic health conditions or mental illness). Also, research has identified that a larger number of ACEs increase the risk of negative health outcomes in a dose-response relationship. </w:t>
      </w:r>
      <w:proofErr w:type="gramStart"/>
      <w:r w:rsidRPr="00614CF2">
        <w:t>Similar to</w:t>
      </w:r>
      <w:proofErr w:type="gramEnd"/>
      <w:r w:rsidRPr="00614CF2">
        <w:t xml:space="preserve"> PCEs, seeing disparities in ACEs among populations within a population group identifies opportunities to employ specific prevention or intervention strategies and approaches for those ACEs in those groups. For this dashboard, ACEs are grouped into the </w:t>
      </w:r>
      <w:proofErr w:type="gramStart"/>
      <w:r w:rsidRPr="00614CF2">
        <w:t>topics</w:t>
      </w:r>
      <w:proofErr w:type="gramEnd"/>
      <w:r w:rsidRPr="00614CF2">
        <w:t xml:space="preserve"> areas</w:t>
      </w:r>
      <w:r>
        <w:t xml:space="preserve"> listed </w:t>
      </w:r>
      <w:r w:rsidRPr="00614CF2">
        <w:t>below: </w:t>
      </w:r>
    </w:p>
    <w:p w14:paraId="2FE74D8E" w14:textId="77777777" w:rsidR="00C06637" w:rsidRPr="00614CF2" w:rsidRDefault="00C06637" w:rsidP="00C06637">
      <w:pPr>
        <w:pStyle w:val="Heading4"/>
        <w:rPr>
          <w:rFonts w:ascii="Segoe UI" w:eastAsia="Times New Roman" w:hAnsi="Segoe UI" w:cs="Segoe UI"/>
          <w:sz w:val="18"/>
          <w:szCs w:val="18"/>
        </w:rPr>
      </w:pPr>
      <w:r w:rsidRPr="00614CF2">
        <w:rPr>
          <w:rFonts w:eastAsia="Times New Roman"/>
        </w:rPr>
        <w:t>Bullying </w:t>
      </w:r>
    </w:p>
    <w:p w14:paraId="579710D5" w14:textId="77777777" w:rsidR="00C06637" w:rsidRPr="00614CF2" w:rsidRDefault="00C06637" w:rsidP="00C06637">
      <w:pPr>
        <w:rPr>
          <w:rFonts w:ascii="Segoe UI" w:hAnsi="Segoe UI" w:cs="Segoe UI"/>
          <w:sz w:val="18"/>
          <w:szCs w:val="18"/>
        </w:rPr>
      </w:pPr>
      <w:r w:rsidRPr="00614CF2">
        <w:t xml:space="preserve">Bullying, which can occur in-person or through various media, such as via the internet, is defined by the CDC as “any unwanted aggressive behaviors(s) [toward a youth] by another youth or groups of youths, who are not siblings or current dating partners, that involves an observed or perceived power imbalance, and is repeated multiple times or is highly likely to be repeated.” Physical, verbal, relational/social, and victim property damage, are types of bullying. These experiences may result in a variety of physical, psychological, social, and educational harms for youth who are bullied. This dashboard measures experiences of bullying and cyberbullying. </w:t>
      </w:r>
      <w:hyperlink r:id="rId60" w:tgtFrame="_blank" w:history="1">
        <w:r w:rsidRPr="00614CF2">
          <w:rPr>
            <w:color w:val="0000FF"/>
            <w:u w:val="single"/>
          </w:rPr>
          <w:t>Information about bullying prevention can be found here.</w:t>
        </w:r>
      </w:hyperlink>
      <w:r w:rsidRPr="0096753E">
        <w:t xml:space="preserve"> </w:t>
      </w:r>
      <w:hyperlink r:id="rId61" w:anchor="adolescent-bullying-" w:history="1">
        <w:r w:rsidRPr="009C38FC">
          <w:rPr>
            <w:rStyle w:val="Hyperlink"/>
          </w:rPr>
          <w:t>Bullying prevention tips can also be found here.</w:t>
        </w:r>
      </w:hyperlink>
      <w:r>
        <w:t xml:space="preserve"> </w:t>
      </w:r>
    </w:p>
    <w:p w14:paraId="596DA9D2" w14:textId="77777777" w:rsidR="00C06637" w:rsidRPr="00614CF2" w:rsidRDefault="00C06637" w:rsidP="00C06637">
      <w:pPr>
        <w:pStyle w:val="Heading4"/>
        <w:rPr>
          <w:rFonts w:ascii="Segoe UI" w:eastAsia="Times New Roman" w:hAnsi="Segoe UI" w:cs="Segoe UI"/>
          <w:sz w:val="18"/>
          <w:szCs w:val="18"/>
        </w:rPr>
      </w:pPr>
      <w:r w:rsidRPr="00614CF2">
        <w:rPr>
          <w:rFonts w:eastAsia="Times New Roman"/>
        </w:rPr>
        <w:t>Community Challenges </w:t>
      </w:r>
    </w:p>
    <w:p w14:paraId="5F18D373" w14:textId="77777777" w:rsidR="00C06637" w:rsidRPr="00614CF2" w:rsidRDefault="00C06637" w:rsidP="00C06637">
      <w:pPr>
        <w:rPr>
          <w:rFonts w:ascii="Segoe UI" w:hAnsi="Segoe UI" w:cs="Segoe UI"/>
          <w:sz w:val="18"/>
          <w:szCs w:val="18"/>
        </w:rPr>
      </w:pPr>
      <w:r w:rsidRPr="00614CF2">
        <w:t xml:space="preserve">Community challenge ACEs </w:t>
      </w:r>
      <w:r>
        <w:t>are</w:t>
      </w:r>
      <w:r w:rsidRPr="00614CF2">
        <w:t xml:space="preserve"> adverse experiences youth may be exposed to within the community. These experiences can impact one’s sense of safety and ability to make community connections and engage outside of one’s home. In this dashboard, community challenges include witnessing neighborhood violence or skipping school due to feeling unsafe traveling to, from, or at school. Community violence is defined by the CDC as a critical public health problem, as it creates physical, emotional, and financial pain in communities, families, and individuals. </w:t>
      </w:r>
      <w:hyperlink r:id="rId62" w:tgtFrame="_blank" w:history="1">
        <w:r w:rsidRPr="00614CF2">
          <w:rPr>
            <w:color w:val="0000FF"/>
            <w:u w:val="single"/>
          </w:rPr>
          <w:t>Information about community violence prevention can be found here</w:t>
        </w:r>
      </w:hyperlink>
      <w:r w:rsidRPr="00614CF2">
        <w:t>.   </w:t>
      </w:r>
    </w:p>
    <w:p w14:paraId="5674CDC6" w14:textId="77777777" w:rsidR="00C06637" w:rsidRPr="00614CF2" w:rsidRDefault="00C06637" w:rsidP="00C06637">
      <w:pPr>
        <w:pStyle w:val="Heading4"/>
        <w:rPr>
          <w:rFonts w:ascii="Segoe UI" w:eastAsia="Times New Roman" w:hAnsi="Segoe UI" w:cs="Segoe UI"/>
          <w:sz w:val="18"/>
          <w:szCs w:val="18"/>
        </w:rPr>
      </w:pPr>
      <w:r w:rsidRPr="00614CF2">
        <w:rPr>
          <w:rFonts w:eastAsia="Times New Roman"/>
        </w:rPr>
        <w:t>Dating Violence </w:t>
      </w:r>
    </w:p>
    <w:p w14:paraId="5A070D74" w14:textId="77777777" w:rsidR="00C06637" w:rsidRPr="00614CF2" w:rsidRDefault="00C06637" w:rsidP="00C06637">
      <w:pPr>
        <w:rPr>
          <w:rFonts w:ascii="Segoe UI" w:hAnsi="Segoe UI" w:cs="Segoe UI"/>
          <w:sz w:val="18"/>
          <w:szCs w:val="18"/>
        </w:rPr>
      </w:pPr>
      <w:r w:rsidRPr="00614CF2">
        <w:t xml:space="preserve">Teen dating violence is intimate partner violence experienced in adolescence, in-person, online, or through </w:t>
      </w:r>
      <w:r>
        <w:t xml:space="preserve">other forms of </w:t>
      </w:r>
      <w:r w:rsidRPr="00614CF2">
        <w:t>technology. This includes sexual and physical violence by a dating partner, as well as experiencing psychological aggression, emotional abuse, threats to kill or harm a partner or someone the partner cares about, stalking, monitoring, or controlling behavior during or after a relationship with a dating partner. Experiencing unhealthy relationships in adolescence increases the risk of experiencing other types of violence and IPV in adulthood. This dashboard is careful to only share estimate</w:t>
      </w:r>
      <w:r>
        <w:t>s</w:t>
      </w:r>
      <w:r w:rsidRPr="00614CF2">
        <w:t xml:space="preserve"> of youth who experience dating violence out of youth who have experienced dating.  </w:t>
      </w:r>
      <w:hyperlink r:id="rId63" w:tgtFrame="_blank" w:history="1">
        <w:r w:rsidRPr="00614CF2">
          <w:rPr>
            <w:color w:val="0000FF"/>
            <w:u w:val="single"/>
          </w:rPr>
          <w:t>Information about preventing intimate partner violence can be found here.</w:t>
        </w:r>
      </w:hyperlink>
      <w:r w:rsidRPr="00614CF2">
        <w:t xml:space="preserve"> </w:t>
      </w:r>
      <w:hyperlink r:id="rId64" w:tgtFrame="_blank" w:history="1">
        <w:r w:rsidRPr="00614CF2">
          <w:rPr>
            <w:color w:val="0000FF"/>
            <w:u w:val="single"/>
          </w:rPr>
          <w:t>Information about preventing teen dating violence can be found here.</w:t>
        </w:r>
      </w:hyperlink>
      <w:r w:rsidRPr="00614CF2">
        <w:t>  </w:t>
      </w:r>
    </w:p>
    <w:p w14:paraId="5B9C03E4" w14:textId="77777777" w:rsidR="00C06637" w:rsidRPr="00614CF2" w:rsidRDefault="00C06637" w:rsidP="00C06637">
      <w:pPr>
        <w:pStyle w:val="Heading4"/>
        <w:rPr>
          <w:rFonts w:ascii="Segoe UI" w:eastAsia="Times New Roman" w:hAnsi="Segoe UI" w:cs="Segoe UI"/>
          <w:sz w:val="18"/>
          <w:szCs w:val="18"/>
        </w:rPr>
      </w:pPr>
      <w:r w:rsidRPr="00614CF2">
        <w:rPr>
          <w:rFonts w:eastAsia="Times New Roman"/>
        </w:rPr>
        <w:t>Discrimination </w:t>
      </w:r>
    </w:p>
    <w:p w14:paraId="0B4E1920" w14:textId="77777777" w:rsidR="00C06637" w:rsidRPr="00614CF2" w:rsidRDefault="00C06637" w:rsidP="00C06637">
      <w:pPr>
        <w:rPr>
          <w:rFonts w:ascii="Segoe UI" w:hAnsi="Segoe UI" w:cs="Segoe UI"/>
          <w:sz w:val="18"/>
          <w:szCs w:val="18"/>
        </w:rPr>
      </w:pPr>
      <w:r w:rsidRPr="00614CF2">
        <w:t xml:space="preserve">Youth experience discrimination when they are unjustly or prejudicially treated based on a characteristic of their identity. This dashboard includes experiences of discrimination based on race/ethnicity and sexual orientation. Experiencing discrimination causes stress and is a traumatic experience. Discrimination also can negatively impact the ability to receive appropriate services and access to </w:t>
      </w:r>
      <w:r w:rsidRPr="00614CF2">
        <w:lastRenderedPageBreak/>
        <w:t xml:space="preserve">opportunities. Systematic racism, systemic barriers, and historical trauma are the result of years of discrimination and impact the communities in which youth and families live and their exposure to adverse experiences. Experiencing discrimination at school, based on race/ethnicity or sexual orientation/gender identity can decrease school connectedness. </w:t>
      </w:r>
      <w:hyperlink r:id="rId65" w:tgtFrame="_blank" w:history="1">
        <w:r w:rsidRPr="00614CF2">
          <w:rPr>
            <w:color w:val="0000FF"/>
            <w:u w:val="single"/>
          </w:rPr>
          <w:t>Information about racism and health can be found here.</w:t>
        </w:r>
      </w:hyperlink>
      <w:r w:rsidRPr="00614CF2">
        <w:t xml:space="preserve"> </w:t>
      </w:r>
      <w:hyperlink r:id="rId66" w:tgtFrame="_blank" w:history="1">
        <w:r w:rsidRPr="00614CF2">
          <w:rPr>
            <w:color w:val="0000FF"/>
            <w:u w:val="single"/>
          </w:rPr>
          <w:t>Information about supporting LGBTQ youth can be found here.</w:t>
        </w:r>
      </w:hyperlink>
      <w:r w:rsidRPr="00614CF2">
        <w:t>  </w:t>
      </w:r>
    </w:p>
    <w:p w14:paraId="4E268531" w14:textId="77777777" w:rsidR="00C06637" w:rsidRPr="00614CF2" w:rsidRDefault="00C06637" w:rsidP="00C06637">
      <w:pPr>
        <w:pStyle w:val="Heading4"/>
        <w:rPr>
          <w:rFonts w:ascii="Segoe UI" w:eastAsia="Times New Roman" w:hAnsi="Segoe UI" w:cs="Segoe UI"/>
          <w:sz w:val="18"/>
          <w:szCs w:val="18"/>
        </w:rPr>
      </w:pPr>
      <w:r w:rsidRPr="00614CF2">
        <w:rPr>
          <w:rFonts w:eastAsia="Times New Roman"/>
        </w:rPr>
        <w:t>Family Violence </w:t>
      </w:r>
    </w:p>
    <w:p w14:paraId="36D074DB" w14:textId="77777777" w:rsidR="00C06637" w:rsidRPr="00614CF2" w:rsidRDefault="00C06637" w:rsidP="00C06637">
      <w:pPr>
        <w:rPr>
          <w:rFonts w:ascii="Segoe UI" w:hAnsi="Segoe UI" w:cs="Segoe UI"/>
          <w:sz w:val="18"/>
          <w:szCs w:val="18"/>
        </w:rPr>
      </w:pPr>
      <w:r w:rsidRPr="00614CF2">
        <w:t xml:space="preserve">Family violence is a topic area for this dashboard that encompasses experiences of violence within the household. For youth, this can include witnessing intimate partner violence or violence among household members. It can also include youth experiencing physical violence in the home against them. These experiences can impact one’s sense of safety within their home and impact relationships with members of the household. </w:t>
      </w:r>
      <w:hyperlink r:id="rId67" w:tgtFrame="_blank" w:history="1">
        <w:r w:rsidRPr="00614CF2">
          <w:rPr>
            <w:color w:val="0000FF"/>
            <w:u w:val="single"/>
          </w:rPr>
          <w:t>Information about preventing child abuse and neglect can be found here.</w:t>
        </w:r>
      </w:hyperlink>
      <w:r w:rsidRPr="00614CF2">
        <w:t xml:space="preserve"> </w:t>
      </w:r>
      <w:hyperlink r:id="rId68" w:tgtFrame="_blank" w:history="1">
        <w:r w:rsidRPr="00614CF2">
          <w:rPr>
            <w:color w:val="0000FF"/>
            <w:u w:val="single"/>
          </w:rPr>
          <w:t>Information about preventing domestic violence can be found here.</w:t>
        </w:r>
      </w:hyperlink>
      <w:r w:rsidRPr="00614CF2">
        <w:t>  </w:t>
      </w:r>
    </w:p>
    <w:p w14:paraId="761FB70B" w14:textId="77777777" w:rsidR="00C06637" w:rsidRPr="00614CF2" w:rsidRDefault="00C06637" w:rsidP="00C06637">
      <w:pPr>
        <w:pStyle w:val="Heading4"/>
        <w:rPr>
          <w:rFonts w:ascii="Segoe UI" w:eastAsia="Times New Roman" w:hAnsi="Segoe UI" w:cs="Segoe UI"/>
          <w:sz w:val="18"/>
          <w:szCs w:val="18"/>
        </w:rPr>
      </w:pPr>
      <w:r w:rsidRPr="00614CF2">
        <w:rPr>
          <w:rFonts w:eastAsia="Times New Roman"/>
        </w:rPr>
        <w:t>Household Mental Illness and Substance Use </w:t>
      </w:r>
    </w:p>
    <w:p w14:paraId="39BE17C2" w14:textId="77777777" w:rsidR="00C06637" w:rsidRPr="00614CF2" w:rsidRDefault="00C06637" w:rsidP="00C06637">
      <w:pPr>
        <w:rPr>
          <w:rFonts w:ascii="Segoe UI" w:hAnsi="Segoe UI" w:cs="Segoe UI"/>
          <w:sz w:val="18"/>
          <w:szCs w:val="18"/>
        </w:rPr>
      </w:pPr>
      <w:r w:rsidRPr="00614CF2">
        <w:t>Sharing a household with someone with mental illness or substance use are two traditional ACEs from the original CDC-Kaiser study. This dashboard includes if youth have ever lived with someone who was “…depressed, mentally ill, or suicidal” and “…having a problem with alcohol or drug use.” It is important to note that although these indicators are traditional ACEs, they often are interpreted with an ableist view that individuals (such as caregivers) that fall into these categories are unable to properly care for youth, which may not be the case. Additional questions</w:t>
      </w:r>
      <w:r>
        <w:t>, such as those</w:t>
      </w:r>
      <w:r w:rsidRPr="00614CF2">
        <w:t xml:space="preserve"> related to household members’ access to treatment or care related to these conditions</w:t>
      </w:r>
      <w:r>
        <w:t>,</w:t>
      </w:r>
      <w:r w:rsidRPr="00614CF2">
        <w:t xml:space="preserve"> often result from interpreting and viewing this data for household members experiencing mental illness or substance use. </w:t>
      </w:r>
      <w:r w:rsidRPr="00AA1E33">
        <w:t xml:space="preserve">Unfortunately, it is beyond the scope of the indicators we have available to address these important nuances. Dashboard users are encouraged to consider these ACEs </w:t>
      </w:r>
      <w:proofErr w:type="gramStart"/>
      <w:r w:rsidRPr="00AA1E33">
        <w:t>in light of</w:t>
      </w:r>
      <w:proofErr w:type="gramEnd"/>
      <w:r w:rsidRPr="00AA1E33">
        <w:t xml:space="preserve"> consideration of the availability and access to resources in their communities and how these can be addressed.</w:t>
      </w:r>
    </w:p>
    <w:p w14:paraId="4CA24392" w14:textId="77777777" w:rsidR="00C06637" w:rsidRPr="00614CF2" w:rsidRDefault="00C06637" w:rsidP="00C06637">
      <w:pPr>
        <w:pStyle w:val="Heading4"/>
        <w:rPr>
          <w:rFonts w:ascii="Segoe UI" w:eastAsia="Times New Roman" w:hAnsi="Segoe UI" w:cs="Segoe UI"/>
          <w:sz w:val="18"/>
          <w:szCs w:val="18"/>
        </w:rPr>
      </w:pPr>
      <w:r w:rsidRPr="00614CF2">
        <w:rPr>
          <w:rFonts w:eastAsia="Times New Roman"/>
        </w:rPr>
        <w:t>Interpersonal Violence </w:t>
      </w:r>
    </w:p>
    <w:p w14:paraId="08070691" w14:textId="77777777" w:rsidR="00C06637" w:rsidRPr="00614CF2" w:rsidRDefault="00C06637" w:rsidP="00C06637">
      <w:pPr>
        <w:rPr>
          <w:rFonts w:ascii="Segoe UI" w:hAnsi="Segoe UI" w:cs="Segoe UI"/>
          <w:sz w:val="18"/>
          <w:szCs w:val="18"/>
        </w:rPr>
      </w:pPr>
      <w:r w:rsidRPr="00614CF2">
        <w:t xml:space="preserve">Interpersonal Violence refers to violence between persons. As a topic area for this dashboard, it captures experiences that are not included in more specific types of interpersonal violence topics (like sexual violence, dating violence, or bullying). This dashboard includes interpersonal violence experiences of being involved in a physical fight or being threatened or injured with a weapon. Experiencing interpersonal violence as a youth, per the CDC, can “harm development and contribute to impaired decision-making, learning challenges, decreased connections to peers and adults, and trouble coping with stress.” </w:t>
      </w:r>
      <w:hyperlink r:id="rId69" w:tgtFrame="_blank" w:history="1">
        <w:r w:rsidRPr="00614CF2">
          <w:rPr>
            <w:color w:val="0000FF"/>
            <w:u w:val="single"/>
          </w:rPr>
          <w:t>Information about preventing youth violence can be found here. </w:t>
        </w:r>
      </w:hyperlink>
      <w:r w:rsidRPr="00614CF2">
        <w:t xml:space="preserve"> </w:t>
      </w:r>
      <w:hyperlink r:id="rId70" w:tgtFrame="_blank" w:history="1">
        <w:r w:rsidRPr="00614CF2">
          <w:rPr>
            <w:color w:val="0000FF"/>
            <w:u w:val="single"/>
          </w:rPr>
          <w:t>Information about preventing firearm violence can be found here.</w:t>
        </w:r>
      </w:hyperlink>
      <w:r w:rsidRPr="00614CF2">
        <w:t> </w:t>
      </w:r>
    </w:p>
    <w:p w14:paraId="1093A9F1" w14:textId="77777777" w:rsidR="00C06637" w:rsidRPr="00614CF2" w:rsidRDefault="00C06637" w:rsidP="00C06637">
      <w:pPr>
        <w:pStyle w:val="Heading4"/>
        <w:rPr>
          <w:rFonts w:ascii="Segoe UI" w:eastAsia="Times New Roman" w:hAnsi="Segoe UI" w:cs="Segoe UI"/>
          <w:sz w:val="18"/>
          <w:szCs w:val="18"/>
        </w:rPr>
      </w:pPr>
      <w:r w:rsidRPr="00614CF2">
        <w:rPr>
          <w:rFonts w:eastAsia="Times New Roman"/>
        </w:rPr>
        <w:t>Material Needs </w:t>
      </w:r>
    </w:p>
    <w:p w14:paraId="0BEB3E0C" w14:textId="77777777" w:rsidR="00C06637" w:rsidRPr="00614CF2" w:rsidRDefault="00C06637" w:rsidP="00C06637">
      <w:pPr>
        <w:rPr>
          <w:rFonts w:ascii="Segoe UI" w:hAnsi="Segoe UI" w:cs="Segoe UI"/>
          <w:sz w:val="18"/>
          <w:szCs w:val="18"/>
        </w:rPr>
      </w:pPr>
      <w:r w:rsidRPr="00614CF2">
        <w:t xml:space="preserve">The lack of basic physical human needs is also known as having material needs or hardships. These include things such as food, shelter, clothing, and health care. This dashboard includes food insecurity and lack of access to stable housing (also referred to as unstable housing) as material needs ACEs for youth. Lack of resources to fulfill basic needs is a traumatic experience for youth, as lack of these items such as food or stable housing can negatively impact development and contribute to feelings of stress and uncertainty of where the next meal will come from or where they will sleep. These experiences can also reflect greater community or socio-economic needs youth and their families are experiencing. </w:t>
      </w:r>
      <w:hyperlink r:id="rId71" w:tgtFrame="_blank" w:history="1">
        <w:r w:rsidRPr="00614CF2">
          <w:rPr>
            <w:color w:val="0000FF"/>
            <w:u w:val="single"/>
          </w:rPr>
          <w:t>Information on Massachusetts resources to address some of these needs can be found here.</w:t>
        </w:r>
      </w:hyperlink>
      <w:r w:rsidRPr="00614CF2">
        <w:rPr>
          <w:sz w:val="16"/>
          <w:szCs w:val="16"/>
        </w:rPr>
        <w:t xml:space="preserve">  </w:t>
      </w:r>
    </w:p>
    <w:p w14:paraId="5AB80E60" w14:textId="77777777" w:rsidR="00C06637" w:rsidRPr="00614CF2" w:rsidRDefault="00C06637" w:rsidP="00C06637">
      <w:pPr>
        <w:pStyle w:val="Heading4"/>
        <w:rPr>
          <w:rFonts w:ascii="Segoe UI" w:eastAsia="Times New Roman" w:hAnsi="Segoe UI" w:cs="Segoe UI"/>
          <w:sz w:val="18"/>
          <w:szCs w:val="18"/>
        </w:rPr>
      </w:pPr>
      <w:r w:rsidRPr="00614CF2">
        <w:rPr>
          <w:rFonts w:eastAsia="Times New Roman"/>
        </w:rPr>
        <w:lastRenderedPageBreak/>
        <w:t>Sexual Violence </w:t>
      </w:r>
    </w:p>
    <w:p w14:paraId="620C65AB" w14:textId="77777777" w:rsidR="00C06637" w:rsidRPr="00614CF2" w:rsidRDefault="00C06637" w:rsidP="00C06637">
      <w:pPr>
        <w:rPr>
          <w:rFonts w:ascii="Segoe UI" w:hAnsi="Segoe UI" w:cs="Segoe UI"/>
          <w:sz w:val="18"/>
          <w:szCs w:val="18"/>
        </w:rPr>
      </w:pPr>
      <w:r w:rsidRPr="00614CF2">
        <w:t xml:space="preserve">Sexual violence is defined as sexual activity that occurs “when consent is not obtained or freely given” and includes experiences that happen in-person, online, or through </w:t>
      </w:r>
      <w:r>
        <w:t xml:space="preserve">other </w:t>
      </w:r>
      <w:r w:rsidRPr="00614CF2">
        <w:t xml:space="preserve">technology. Experiencing and perpetrating sexual violence is not confined to one gender, sexual orientation, or age, and experiencing it as a victim can be physically and psychologically harmful and relate to experiencing other forms of violence, like intimate partner violence. This dashboard measures experiences with unwanted sexual contact in high schoolers. </w:t>
      </w:r>
      <w:hyperlink r:id="rId72" w:tgtFrame="_blank" w:history="1">
        <w:r w:rsidRPr="00614CF2">
          <w:rPr>
            <w:color w:val="0000FF"/>
            <w:u w:val="single"/>
          </w:rPr>
          <w:t>Information about preventing sexual violence can be found here.</w:t>
        </w:r>
      </w:hyperlink>
      <w:r w:rsidRPr="00614CF2">
        <w:t xml:space="preserve"> </w:t>
      </w:r>
      <w:hyperlink r:id="rId73" w:tgtFrame="_blank" w:history="1">
        <w:r w:rsidRPr="00614CF2">
          <w:rPr>
            <w:color w:val="0000FF"/>
            <w:u w:val="single"/>
          </w:rPr>
          <w:t>Information about preventing child sexual abuse can be found here.</w:t>
        </w:r>
      </w:hyperlink>
      <w:r w:rsidRPr="00614CF2">
        <w:t>  </w:t>
      </w:r>
    </w:p>
    <w:p w14:paraId="10A54770" w14:textId="77777777" w:rsidR="00C06637" w:rsidRPr="00614CF2" w:rsidRDefault="00C06637" w:rsidP="00C06637">
      <w:pPr>
        <w:pStyle w:val="Heading1"/>
        <w:rPr>
          <w:rFonts w:ascii="Segoe UI" w:eastAsia="Times New Roman" w:hAnsi="Segoe UI" w:cs="Segoe UI"/>
          <w:sz w:val="18"/>
          <w:szCs w:val="18"/>
        </w:rPr>
      </w:pPr>
      <w:bookmarkStart w:id="54" w:name="_Toc143086318"/>
      <w:bookmarkStart w:id="55" w:name="_Toc151373124"/>
      <w:bookmarkStart w:id="56" w:name="_Toc155626831"/>
      <w:r w:rsidRPr="00614CF2">
        <w:rPr>
          <w:rFonts w:eastAsia="Times New Roman"/>
        </w:rPr>
        <w:t>Reflection Questions</w:t>
      </w:r>
      <w:bookmarkEnd w:id="54"/>
      <w:bookmarkEnd w:id="55"/>
      <w:bookmarkEnd w:id="56"/>
      <w:r w:rsidRPr="00614CF2">
        <w:rPr>
          <w:rFonts w:eastAsia="Times New Roman"/>
        </w:rPr>
        <w:t>  </w:t>
      </w:r>
    </w:p>
    <w:p w14:paraId="2FB23FE6" w14:textId="77777777" w:rsidR="00C06637" w:rsidRPr="00614CF2" w:rsidRDefault="00C06637" w:rsidP="00C06637">
      <w:pPr>
        <w:spacing w:after="0" w:line="240" w:lineRule="auto"/>
        <w:textAlignment w:val="baseline"/>
        <w:rPr>
          <w:rFonts w:ascii="Segoe UI" w:eastAsia="Times New Roman" w:hAnsi="Segoe UI" w:cs="Segoe UI"/>
          <w:sz w:val="18"/>
          <w:szCs w:val="18"/>
        </w:rPr>
      </w:pPr>
      <w:r w:rsidRPr="00614CF2">
        <w:rPr>
          <w:rFonts w:ascii="Calibri" w:eastAsia="Times New Roman" w:hAnsi="Calibri" w:cs="Calibri"/>
        </w:rPr>
        <w:t xml:space="preserve">Below are some questions to think about as you explore the data and consider the problems it raises and identify appropriate solutions. These are adapted from the </w:t>
      </w:r>
      <w:hyperlink r:id="rId74" w:tgtFrame="_blank" w:history="1">
        <w:r w:rsidRPr="00614CF2">
          <w:rPr>
            <w:rFonts w:ascii="Calibri" w:eastAsia="Times New Roman" w:hAnsi="Calibri" w:cs="Calibri"/>
            <w:color w:val="0000FF"/>
            <w:u w:val="single"/>
          </w:rPr>
          <w:t>COVID-19 Community Impact Survey Data Dashboard</w:t>
        </w:r>
      </w:hyperlink>
      <w:r w:rsidRPr="00614CF2">
        <w:rPr>
          <w:rFonts w:ascii="Calibri" w:eastAsia="Times New Roman" w:hAnsi="Calibri" w:cs="Calibri"/>
        </w:rPr>
        <w:t>.  </w:t>
      </w:r>
    </w:p>
    <w:p w14:paraId="644A1479" w14:textId="77777777" w:rsidR="00C06637" w:rsidRPr="00614CF2" w:rsidRDefault="00C06637" w:rsidP="00C06637">
      <w:pPr>
        <w:pStyle w:val="ListParagraph"/>
        <w:numPr>
          <w:ilvl w:val="0"/>
          <w:numId w:val="16"/>
        </w:numPr>
      </w:pPr>
      <w:r w:rsidRPr="00614CF2">
        <w:t xml:space="preserve">What </w:t>
      </w:r>
      <w:proofErr w:type="gramStart"/>
      <w:r w:rsidRPr="00614CF2">
        <w:t>do</w:t>
      </w:r>
      <w:proofErr w:type="gramEnd"/>
      <w:r w:rsidRPr="00614CF2">
        <w:t xml:space="preserve"> the data tell you about specific issues related to </w:t>
      </w:r>
      <w:r>
        <w:t>P</w:t>
      </w:r>
      <w:r w:rsidRPr="00614CF2">
        <w:t xml:space="preserve">CEs and </w:t>
      </w:r>
      <w:r>
        <w:t>A</w:t>
      </w:r>
      <w:r w:rsidRPr="00614CF2">
        <w:t>CEs in Massachusetts? </w:t>
      </w:r>
    </w:p>
    <w:p w14:paraId="09004F76" w14:textId="77777777" w:rsidR="00C06637" w:rsidRPr="00614CF2" w:rsidRDefault="00C06637" w:rsidP="00C06637">
      <w:pPr>
        <w:pStyle w:val="ListParagraph"/>
        <w:numPr>
          <w:ilvl w:val="0"/>
          <w:numId w:val="16"/>
        </w:numPr>
      </w:pPr>
      <w:r w:rsidRPr="00614CF2">
        <w:t>Who are the populations within the state who are most impacted? </w:t>
      </w:r>
    </w:p>
    <w:p w14:paraId="6BF50BC0" w14:textId="77777777" w:rsidR="00C06637" w:rsidRPr="00614CF2" w:rsidRDefault="00C06637" w:rsidP="00C06637">
      <w:pPr>
        <w:pStyle w:val="ListParagraph"/>
        <w:numPr>
          <w:ilvl w:val="1"/>
          <w:numId w:val="16"/>
        </w:numPr>
      </w:pPr>
      <w:r w:rsidRPr="00614CF2">
        <w:t>Although the dashboard does NOT show inequities by race, ethnicity, and other identity groups that are specific to communities, towns, or cities, users can compare what they know about their community/town/city to statewide survey results for these groups.   </w:t>
      </w:r>
    </w:p>
    <w:p w14:paraId="32D0B332" w14:textId="77777777" w:rsidR="00C06637" w:rsidRPr="00614CF2" w:rsidRDefault="00C06637" w:rsidP="00C06637">
      <w:pPr>
        <w:pStyle w:val="ListParagraph"/>
        <w:numPr>
          <w:ilvl w:val="1"/>
          <w:numId w:val="16"/>
        </w:numPr>
      </w:pPr>
      <w:r w:rsidRPr="00614CF2">
        <w:t>Comparing the statewide survey results with what you know about your community's demographics, are there groups living in your community that are most impacted or disproportionately impacted by certain ACEs or lack of PCEs? </w:t>
      </w:r>
    </w:p>
    <w:p w14:paraId="0B77551E" w14:textId="77777777" w:rsidR="00C06637" w:rsidRPr="00614CF2" w:rsidRDefault="00C06637" w:rsidP="00C06637">
      <w:pPr>
        <w:pStyle w:val="ListParagraph"/>
        <w:numPr>
          <w:ilvl w:val="0"/>
          <w:numId w:val="16"/>
        </w:numPr>
      </w:pPr>
      <w:r w:rsidRPr="00614CF2">
        <w:t>Does the data tell you something new about youth experiences? </w:t>
      </w:r>
    </w:p>
    <w:p w14:paraId="7C090C1A" w14:textId="77777777" w:rsidR="00C06637" w:rsidRPr="00614CF2" w:rsidRDefault="00C06637" w:rsidP="00C06637">
      <w:pPr>
        <w:pStyle w:val="ListParagraph"/>
        <w:numPr>
          <w:ilvl w:val="0"/>
          <w:numId w:val="16"/>
        </w:numPr>
      </w:pPr>
      <w:r w:rsidRPr="00614CF2">
        <w:t>What are some possible causes for the issues you’re seeing? </w:t>
      </w:r>
    </w:p>
    <w:p w14:paraId="02224818" w14:textId="77777777" w:rsidR="00C06637" w:rsidRPr="00614CF2" w:rsidRDefault="00C06637" w:rsidP="00C06637">
      <w:pPr>
        <w:pStyle w:val="ListParagraph"/>
        <w:numPr>
          <w:ilvl w:val="0"/>
          <w:numId w:val="16"/>
        </w:numPr>
      </w:pPr>
      <w:r w:rsidRPr="00614CF2">
        <w:t>What do you know from other data and experiences that help you understand youth experiences? </w:t>
      </w:r>
    </w:p>
    <w:p w14:paraId="783483ED" w14:textId="77777777" w:rsidR="00C06637" w:rsidRPr="00614CF2" w:rsidRDefault="00C06637" w:rsidP="00C06637">
      <w:pPr>
        <w:pStyle w:val="ListParagraph"/>
        <w:numPr>
          <w:ilvl w:val="0"/>
          <w:numId w:val="16"/>
        </w:numPr>
      </w:pPr>
      <w:r w:rsidRPr="00614CF2">
        <w:t>Which voices have you heard from? Who has been left out of the conversation so far? </w:t>
      </w:r>
    </w:p>
    <w:p w14:paraId="11B618AF" w14:textId="77777777" w:rsidR="00C06637" w:rsidRPr="00614CF2" w:rsidRDefault="00C06637" w:rsidP="00C06637">
      <w:pPr>
        <w:pStyle w:val="ListParagraph"/>
        <w:numPr>
          <w:ilvl w:val="1"/>
          <w:numId w:val="16"/>
        </w:numPr>
      </w:pPr>
      <w:r w:rsidRPr="00614CF2">
        <w:t>Are youth voices adequately included when talking about ACEs prevention or PCEs promotion? </w:t>
      </w:r>
    </w:p>
    <w:p w14:paraId="11DDA641" w14:textId="77777777" w:rsidR="00C06637" w:rsidRPr="00614CF2" w:rsidRDefault="00C06637" w:rsidP="00C06637">
      <w:pPr>
        <w:pStyle w:val="ListParagraph"/>
        <w:numPr>
          <w:ilvl w:val="0"/>
          <w:numId w:val="16"/>
        </w:numPr>
      </w:pPr>
      <w:r w:rsidRPr="00614CF2">
        <w:t>What are possible solutions/goals? </w:t>
      </w:r>
    </w:p>
    <w:p w14:paraId="7F3FB352" w14:textId="77777777" w:rsidR="00C06637" w:rsidRPr="00614CF2" w:rsidRDefault="00C06637" w:rsidP="00C06637">
      <w:pPr>
        <w:pStyle w:val="ListParagraph"/>
        <w:numPr>
          <w:ilvl w:val="0"/>
          <w:numId w:val="16"/>
        </w:numPr>
      </w:pPr>
      <w:r w:rsidRPr="00614CF2">
        <w:t xml:space="preserve">Are there things that can be done right away to address issues related to </w:t>
      </w:r>
      <w:r>
        <w:t>P</w:t>
      </w:r>
      <w:r w:rsidRPr="00614CF2">
        <w:t>CEs/</w:t>
      </w:r>
      <w:r>
        <w:t>A</w:t>
      </w:r>
      <w:r w:rsidRPr="00614CF2">
        <w:t>CEs? </w:t>
      </w:r>
    </w:p>
    <w:p w14:paraId="49CF5B55" w14:textId="77777777" w:rsidR="00C06637" w:rsidRPr="00614CF2" w:rsidRDefault="00C06637" w:rsidP="00C06637">
      <w:pPr>
        <w:pStyle w:val="ListParagraph"/>
        <w:numPr>
          <w:ilvl w:val="0"/>
          <w:numId w:val="16"/>
        </w:numPr>
      </w:pPr>
      <w:r w:rsidRPr="00614CF2">
        <w:t>Are there things that you can work on long-term to address these issues? </w:t>
      </w:r>
    </w:p>
    <w:p w14:paraId="32EFA02D" w14:textId="77777777" w:rsidR="00C06637" w:rsidRPr="00614CF2" w:rsidRDefault="00C06637" w:rsidP="00C06637">
      <w:pPr>
        <w:pStyle w:val="ListParagraph"/>
        <w:numPr>
          <w:ilvl w:val="0"/>
          <w:numId w:val="16"/>
        </w:numPr>
      </w:pPr>
      <w:r w:rsidRPr="00614CF2">
        <w:t>What action is needed? </w:t>
      </w:r>
    </w:p>
    <w:p w14:paraId="2DE09F16" w14:textId="77777777" w:rsidR="00C06637" w:rsidRPr="00614CF2" w:rsidRDefault="00C06637" w:rsidP="00C06637">
      <w:pPr>
        <w:pStyle w:val="ListParagraph"/>
        <w:numPr>
          <w:ilvl w:val="0"/>
          <w:numId w:val="16"/>
        </w:numPr>
      </w:pPr>
      <w:r w:rsidRPr="00614CF2">
        <w:t xml:space="preserve">Who are partners that can help you </w:t>
      </w:r>
      <w:proofErr w:type="gramStart"/>
      <w:r w:rsidRPr="00614CF2">
        <w:t>take action</w:t>
      </w:r>
      <w:proofErr w:type="gramEnd"/>
      <w:r w:rsidRPr="00614CF2">
        <w:t>? Think about partners that are already engaged, as well as those who have been left out of the conversation. What are possible barriers to action? How can you overcome them? </w:t>
      </w:r>
    </w:p>
    <w:p w14:paraId="070117E3" w14:textId="1D43E670" w:rsidR="00D8227E" w:rsidRDefault="00C06637" w:rsidP="00C06637">
      <w:pPr>
        <w:pStyle w:val="ListParagraph"/>
        <w:numPr>
          <w:ilvl w:val="0"/>
          <w:numId w:val="16"/>
        </w:numPr>
      </w:pPr>
      <w:r w:rsidRPr="00614CF2">
        <w:t xml:space="preserve">What else do you need to know to </w:t>
      </w:r>
      <w:proofErr w:type="gramStart"/>
      <w:r w:rsidRPr="00614CF2">
        <w:t>take action</w:t>
      </w:r>
      <w:proofErr w:type="gramEnd"/>
      <w:r w:rsidRPr="00614CF2">
        <w:t>?</w:t>
      </w:r>
    </w:p>
    <w:sectPr w:rsidR="00D8227E">
      <w:footerReference w:type="defaul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19E5F" w14:textId="77777777" w:rsidR="00D6250D" w:rsidRDefault="00D6250D" w:rsidP="003515F7">
      <w:pPr>
        <w:spacing w:after="0" w:line="240" w:lineRule="auto"/>
      </w:pPr>
      <w:r>
        <w:separator/>
      </w:r>
    </w:p>
  </w:endnote>
  <w:endnote w:type="continuationSeparator" w:id="0">
    <w:p w14:paraId="734BB8D1" w14:textId="77777777" w:rsidR="00D6250D" w:rsidRDefault="00D6250D" w:rsidP="003515F7">
      <w:pPr>
        <w:spacing w:after="0" w:line="240" w:lineRule="auto"/>
      </w:pPr>
      <w:r>
        <w:continuationSeparator/>
      </w:r>
    </w:p>
  </w:endnote>
  <w:endnote w:type="continuationNotice" w:id="1">
    <w:p w14:paraId="3F44D81E" w14:textId="77777777" w:rsidR="00D6250D" w:rsidRDefault="00D625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6146234"/>
      <w:docPartObj>
        <w:docPartGallery w:val="Page Numbers (Bottom of Page)"/>
        <w:docPartUnique/>
      </w:docPartObj>
    </w:sdtPr>
    <w:sdtEndPr>
      <w:rPr>
        <w:noProof/>
      </w:rPr>
    </w:sdtEndPr>
    <w:sdtContent>
      <w:p w14:paraId="1564A41F" w14:textId="78EF5CB5" w:rsidR="003515F7" w:rsidRDefault="003515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C6AFD4" w14:textId="77777777" w:rsidR="003515F7" w:rsidRDefault="003515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B5977" w14:textId="77777777" w:rsidR="00D6250D" w:rsidRDefault="00D6250D" w:rsidP="003515F7">
      <w:pPr>
        <w:spacing w:after="0" w:line="240" w:lineRule="auto"/>
      </w:pPr>
      <w:r>
        <w:separator/>
      </w:r>
    </w:p>
  </w:footnote>
  <w:footnote w:type="continuationSeparator" w:id="0">
    <w:p w14:paraId="2C868C55" w14:textId="77777777" w:rsidR="00D6250D" w:rsidRDefault="00D6250D" w:rsidP="003515F7">
      <w:pPr>
        <w:spacing w:after="0" w:line="240" w:lineRule="auto"/>
      </w:pPr>
      <w:r>
        <w:continuationSeparator/>
      </w:r>
    </w:p>
  </w:footnote>
  <w:footnote w:type="continuationNotice" w:id="1">
    <w:p w14:paraId="7A931E3C" w14:textId="77777777" w:rsidR="00D6250D" w:rsidRDefault="00D6250D">
      <w:pPr>
        <w:spacing w:after="0" w:line="240" w:lineRule="auto"/>
      </w:pPr>
    </w:p>
  </w:footnote>
  <w:footnote w:id="2">
    <w:p w14:paraId="2D6D01FA" w14:textId="77777777" w:rsidR="00C06637" w:rsidRDefault="00C06637" w:rsidP="00C06637">
      <w:pPr>
        <w:pStyle w:val="FootnoteText"/>
      </w:pPr>
      <w:r>
        <w:rPr>
          <w:rStyle w:val="FootnoteReference"/>
        </w:rPr>
        <w:footnoteRef/>
      </w:r>
      <w:r>
        <w:t xml:space="preserve"> 2021 Youth Health Survey- High School</w:t>
      </w:r>
    </w:p>
  </w:footnote>
  <w:footnote w:id="3">
    <w:p w14:paraId="49F18DBD" w14:textId="77777777" w:rsidR="00C06637" w:rsidRDefault="00C06637" w:rsidP="00C06637">
      <w:pPr>
        <w:pStyle w:val="FootnoteText"/>
      </w:pPr>
      <w:r>
        <w:rPr>
          <w:rStyle w:val="FootnoteReference"/>
        </w:rPr>
        <w:footnoteRef/>
      </w:r>
      <w:r>
        <w:t xml:space="preserve"> 2021 Youth Health Survey- High School</w:t>
      </w:r>
    </w:p>
  </w:footnote>
  <w:footnote w:id="4">
    <w:p w14:paraId="52D77529" w14:textId="77777777" w:rsidR="00C06637" w:rsidRDefault="00C06637" w:rsidP="00C06637">
      <w:pPr>
        <w:pStyle w:val="FootnoteText"/>
      </w:pPr>
      <w:r>
        <w:rPr>
          <w:rStyle w:val="FootnoteReference"/>
        </w:rPr>
        <w:footnoteRef/>
      </w:r>
      <w:r>
        <w:t xml:space="preserve"> 2021 Youth Health Survey- High School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C1A09"/>
    <w:multiLevelType w:val="multilevel"/>
    <w:tmpl w:val="7E10A21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95C4936"/>
    <w:multiLevelType w:val="hybridMultilevel"/>
    <w:tmpl w:val="B78CF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C7AFF"/>
    <w:multiLevelType w:val="multilevel"/>
    <w:tmpl w:val="7E10A2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CB94620"/>
    <w:multiLevelType w:val="multilevel"/>
    <w:tmpl w:val="AFBE9988"/>
    <w:lvl w:ilvl="0">
      <w:start w:val="1"/>
      <w:numFmt w:val="decimal"/>
      <w:lvlText w:val="%1."/>
      <w:lvlJc w:val="left"/>
      <w:pPr>
        <w:tabs>
          <w:tab w:val="num" w:pos="1800"/>
        </w:tabs>
        <w:ind w:left="1800" w:hanging="360"/>
      </w:pPr>
      <w:rPr>
        <w:rFonts w:hint="default"/>
        <w:b/>
        <w:bCs/>
        <w:color w:val="CC0000"/>
      </w:rPr>
    </w:lvl>
    <w:lvl w:ilvl="1">
      <w:start w:val="2"/>
      <w:numFmt w:val="decimal"/>
      <w:lvlText w:val="%2."/>
      <w:lvlJc w:val="left"/>
      <w:pPr>
        <w:tabs>
          <w:tab w:val="num" w:pos="2520"/>
        </w:tabs>
        <w:ind w:left="2520" w:hanging="360"/>
      </w:pPr>
      <w:rPr>
        <w:rFonts w:hint="default"/>
        <w:color w:val="FF0000"/>
      </w:rPr>
    </w:lvl>
    <w:lvl w:ilvl="2">
      <w:start w:val="1"/>
      <w:numFmt w:val="decimal"/>
      <w:lvlText w:val="%3."/>
      <w:lvlJc w:val="left"/>
      <w:pPr>
        <w:tabs>
          <w:tab w:val="num" w:pos="3240"/>
        </w:tabs>
        <w:ind w:left="3240" w:hanging="360"/>
      </w:pPr>
      <w:rPr>
        <w:rFonts w:hint="default"/>
      </w:rPr>
    </w:lvl>
    <w:lvl w:ilvl="3">
      <w:start w:val="1"/>
      <w:numFmt w:val="decimal"/>
      <w:lvlText w:val="%4."/>
      <w:lvlJc w:val="left"/>
      <w:pPr>
        <w:tabs>
          <w:tab w:val="num" w:pos="3960"/>
        </w:tabs>
        <w:ind w:left="3960" w:hanging="360"/>
      </w:pPr>
      <w:rPr>
        <w:rFonts w:hint="default"/>
      </w:rPr>
    </w:lvl>
    <w:lvl w:ilvl="4">
      <w:start w:val="1"/>
      <w:numFmt w:val="decimal"/>
      <w:lvlText w:val="%5."/>
      <w:lvlJc w:val="left"/>
      <w:pPr>
        <w:tabs>
          <w:tab w:val="num" w:pos="4680"/>
        </w:tabs>
        <w:ind w:left="4680" w:hanging="360"/>
      </w:pPr>
      <w:rPr>
        <w:rFonts w:hint="default"/>
      </w:rPr>
    </w:lvl>
    <w:lvl w:ilvl="5">
      <w:start w:val="1"/>
      <w:numFmt w:val="decimal"/>
      <w:lvlText w:val="%6."/>
      <w:lvlJc w:val="left"/>
      <w:pPr>
        <w:tabs>
          <w:tab w:val="num" w:pos="5400"/>
        </w:tabs>
        <w:ind w:left="5400" w:hanging="360"/>
      </w:pPr>
      <w:rPr>
        <w:rFonts w:hint="default"/>
      </w:rPr>
    </w:lvl>
    <w:lvl w:ilvl="6">
      <w:start w:val="1"/>
      <w:numFmt w:val="decimal"/>
      <w:lvlText w:val="%7."/>
      <w:lvlJc w:val="left"/>
      <w:pPr>
        <w:tabs>
          <w:tab w:val="num" w:pos="6120"/>
        </w:tabs>
        <w:ind w:left="6120" w:hanging="360"/>
      </w:pPr>
      <w:rPr>
        <w:rFonts w:hint="default"/>
      </w:rPr>
    </w:lvl>
    <w:lvl w:ilvl="7">
      <w:start w:val="1"/>
      <w:numFmt w:val="decimal"/>
      <w:lvlText w:val="%8."/>
      <w:lvlJc w:val="left"/>
      <w:pPr>
        <w:tabs>
          <w:tab w:val="num" w:pos="6840"/>
        </w:tabs>
        <w:ind w:left="6840" w:hanging="360"/>
      </w:pPr>
      <w:rPr>
        <w:rFonts w:hint="default"/>
      </w:rPr>
    </w:lvl>
    <w:lvl w:ilvl="8">
      <w:start w:val="1"/>
      <w:numFmt w:val="decimal"/>
      <w:lvlText w:val="%9."/>
      <w:lvlJc w:val="left"/>
      <w:pPr>
        <w:tabs>
          <w:tab w:val="num" w:pos="7560"/>
        </w:tabs>
        <w:ind w:left="7560" w:hanging="360"/>
      </w:pPr>
      <w:rPr>
        <w:rFonts w:hint="default"/>
      </w:rPr>
    </w:lvl>
  </w:abstractNum>
  <w:abstractNum w:abstractNumId="4" w15:restartNumberingAfterBreak="0">
    <w:nsid w:val="10CF7C2D"/>
    <w:multiLevelType w:val="hybridMultilevel"/>
    <w:tmpl w:val="DBC809C0"/>
    <w:lvl w:ilvl="0" w:tplc="6E868A02">
      <w:start w:val="1"/>
      <w:numFmt w:val="decimal"/>
      <w:lvlText w:val="%1."/>
      <w:lvlJc w:val="left"/>
      <w:pPr>
        <w:ind w:left="720" w:hanging="360"/>
      </w:pPr>
      <w:rPr>
        <w:b/>
        <w:bCs/>
        <w:color w:val="CC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5E6708"/>
    <w:multiLevelType w:val="multilevel"/>
    <w:tmpl w:val="745428E0"/>
    <w:lvl w:ilvl="0">
      <w:start w:val="1"/>
      <w:numFmt w:val="decimal"/>
      <w:lvlText w:val="%1."/>
      <w:lvlJc w:val="left"/>
      <w:pPr>
        <w:tabs>
          <w:tab w:val="num" w:pos="720"/>
        </w:tabs>
        <w:ind w:left="720" w:hanging="360"/>
      </w:pPr>
      <w:rPr>
        <w:rFonts w:hint="default"/>
        <w:b/>
        <w:bCs/>
        <w:color w:val="CC0000"/>
      </w:rPr>
    </w:lvl>
    <w:lvl w:ilvl="1">
      <w:start w:val="2"/>
      <w:numFmt w:val="decimal"/>
      <w:lvlText w:val="%2."/>
      <w:lvlJc w:val="left"/>
      <w:pPr>
        <w:tabs>
          <w:tab w:val="num" w:pos="1440"/>
        </w:tabs>
        <w:ind w:left="1440" w:hanging="360"/>
      </w:pPr>
      <w:rPr>
        <w:rFonts w:hint="default"/>
        <w:b/>
        <w:bCs/>
        <w:color w:val="CC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A7D6002"/>
    <w:multiLevelType w:val="hybridMultilevel"/>
    <w:tmpl w:val="4F862DCA"/>
    <w:lvl w:ilvl="0" w:tplc="226005BA">
      <w:start w:val="1"/>
      <w:numFmt w:val="decimal"/>
      <w:lvlText w:val="%1."/>
      <w:lvlJc w:val="left"/>
      <w:pPr>
        <w:ind w:left="720" w:hanging="360"/>
      </w:pPr>
      <w:rPr>
        <w:rFonts w:asciiTheme="minorHAnsi" w:hAnsiTheme="minorHAnsi" w:cstheme="minorHAnsi" w:hint="default"/>
        <w:b/>
        <w:bCs/>
        <w:color w:val="CC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466D7E"/>
    <w:multiLevelType w:val="hybridMultilevel"/>
    <w:tmpl w:val="5D66684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7B47F5"/>
    <w:multiLevelType w:val="hybridMultilevel"/>
    <w:tmpl w:val="24E03054"/>
    <w:lvl w:ilvl="0" w:tplc="911AFC7E">
      <w:start w:val="1"/>
      <w:numFmt w:val="decimal"/>
      <w:lvlText w:val="%1."/>
      <w:lvlJc w:val="left"/>
      <w:pPr>
        <w:ind w:left="720" w:hanging="360"/>
      </w:pPr>
      <w:rPr>
        <w:rFonts w:asciiTheme="minorHAnsi" w:hAnsiTheme="minorHAnsi" w:cstheme="minorHAnsi" w:hint="default"/>
        <w:b/>
        <w:bCs/>
        <w:color w:val="CC0000"/>
        <w:sz w:val="22"/>
        <w:szCs w:val="22"/>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9B3F83"/>
    <w:multiLevelType w:val="hybridMultilevel"/>
    <w:tmpl w:val="BBF2A6E8"/>
    <w:lvl w:ilvl="0" w:tplc="7B6A0B1E">
      <w:start w:val="1"/>
      <w:numFmt w:val="decimal"/>
      <w:lvlText w:val="%1."/>
      <w:lvlJc w:val="left"/>
      <w:pPr>
        <w:ind w:left="720" w:hanging="360"/>
      </w:pPr>
      <w:rPr>
        <w:rFonts w:asciiTheme="minorHAnsi" w:hAnsiTheme="minorHAnsi" w:cstheme="minorHAnsi" w:hint="default"/>
        <w:b/>
        <w:bCs/>
        <w:color w:val="CC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D024AF"/>
    <w:multiLevelType w:val="hybridMultilevel"/>
    <w:tmpl w:val="29E211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7D4748A"/>
    <w:multiLevelType w:val="multilevel"/>
    <w:tmpl w:val="745428E0"/>
    <w:lvl w:ilvl="0">
      <w:start w:val="1"/>
      <w:numFmt w:val="decimal"/>
      <w:lvlText w:val="%1."/>
      <w:lvlJc w:val="left"/>
      <w:pPr>
        <w:tabs>
          <w:tab w:val="num" w:pos="720"/>
        </w:tabs>
        <w:ind w:left="720" w:hanging="360"/>
      </w:pPr>
      <w:rPr>
        <w:rFonts w:hint="default"/>
        <w:b/>
        <w:bCs/>
        <w:color w:val="CC0000"/>
      </w:rPr>
    </w:lvl>
    <w:lvl w:ilvl="1">
      <w:start w:val="2"/>
      <w:numFmt w:val="decimal"/>
      <w:lvlText w:val="%2."/>
      <w:lvlJc w:val="left"/>
      <w:pPr>
        <w:tabs>
          <w:tab w:val="num" w:pos="1440"/>
        </w:tabs>
        <w:ind w:left="1440" w:hanging="360"/>
      </w:pPr>
      <w:rPr>
        <w:rFonts w:hint="default"/>
        <w:b/>
        <w:bCs/>
        <w:color w:val="CC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384B6208"/>
    <w:multiLevelType w:val="hybridMultilevel"/>
    <w:tmpl w:val="8FCC2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916966"/>
    <w:multiLevelType w:val="hybridMultilevel"/>
    <w:tmpl w:val="6E36696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4D10C0"/>
    <w:multiLevelType w:val="multilevel"/>
    <w:tmpl w:val="7E10A21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4FF6529C"/>
    <w:multiLevelType w:val="hybridMultilevel"/>
    <w:tmpl w:val="12F46762"/>
    <w:lvl w:ilvl="0" w:tplc="AE0C7806">
      <w:start w:val="1"/>
      <w:numFmt w:val="decimal"/>
      <w:lvlText w:val="%1."/>
      <w:lvlJc w:val="left"/>
      <w:pPr>
        <w:ind w:left="720" w:hanging="360"/>
      </w:pPr>
      <w:rPr>
        <w:b/>
        <w:bCs/>
        <w:color w:val="CC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512F79"/>
    <w:multiLevelType w:val="multilevel"/>
    <w:tmpl w:val="92D6C976"/>
    <w:lvl w:ilvl="0">
      <w:start w:val="1"/>
      <w:numFmt w:val="decimal"/>
      <w:lvlText w:val="%1."/>
      <w:lvlJc w:val="left"/>
      <w:pPr>
        <w:tabs>
          <w:tab w:val="num" w:pos="1800"/>
        </w:tabs>
        <w:ind w:left="1800" w:hanging="360"/>
      </w:pPr>
      <w:rPr>
        <w:rFonts w:hint="default"/>
        <w:b/>
        <w:bCs/>
        <w:color w:val="CC0000"/>
      </w:rPr>
    </w:lvl>
    <w:lvl w:ilvl="1">
      <w:start w:val="2"/>
      <w:numFmt w:val="decimal"/>
      <w:lvlText w:val="%2."/>
      <w:lvlJc w:val="left"/>
      <w:pPr>
        <w:tabs>
          <w:tab w:val="num" w:pos="2520"/>
        </w:tabs>
        <w:ind w:left="2520" w:hanging="360"/>
      </w:pPr>
      <w:rPr>
        <w:rFonts w:hint="default"/>
        <w:color w:val="FF0000"/>
      </w:rPr>
    </w:lvl>
    <w:lvl w:ilvl="2">
      <w:start w:val="1"/>
      <w:numFmt w:val="decimal"/>
      <w:lvlText w:val="%3."/>
      <w:lvlJc w:val="left"/>
      <w:pPr>
        <w:tabs>
          <w:tab w:val="num" w:pos="3240"/>
        </w:tabs>
        <w:ind w:left="3240" w:hanging="360"/>
      </w:pPr>
      <w:rPr>
        <w:rFonts w:hint="default"/>
      </w:rPr>
    </w:lvl>
    <w:lvl w:ilvl="3">
      <w:start w:val="1"/>
      <w:numFmt w:val="decimal"/>
      <w:lvlText w:val="%4."/>
      <w:lvlJc w:val="left"/>
      <w:pPr>
        <w:tabs>
          <w:tab w:val="num" w:pos="3960"/>
        </w:tabs>
        <w:ind w:left="3960" w:hanging="360"/>
      </w:pPr>
      <w:rPr>
        <w:rFonts w:hint="default"/>
      </w:rPr>
    </w:lvl>
    <w:lvl w:ilvl="4">
      <w:start w:val="1"/>
      <w:numFmt w:val="decimal"/>
      <w:lvlText w:val="%5."/>
      <w:lvlJc w:val="left"/>
      <w:pPr>
        <w:tabs>
          <w:tab w:val="num" w:pos="4680"/>
        </w:tabs>
        <w:ind w:left="4680" w:hanging="360"/>
      </w:pPr>
      <w:rPr>
        <w:rFonts w:hint="default"/>
      </w:rPr>
    </w:lvl>
    <w:lvl w:ilvl="5">
      <w:start w:val="1"/>
      <w:numFmt w:val="decimal"/>
      <w:lvlText w:val="%6."/>
      <w:lvlJc w:val="left"/>
      <w:pPr>
        <w:tabs>
          <w:tab w:val="num" w:pos="5400"/>
        </w:tabs>
        <w:ind w:left="5400" w:hanging="360"/>
      </w:pPr>
      <w:rPr>
        <w:rFonts w:hint="default"/>
      </w:rPr>
    </w:lvl>
    <w:lvl w:ilvl="6">
      <w:start w:val="1"/>
      <w:numFmt w:val="decimal"/>
      <w:lvlText w:val="%7."/>
      <w:lvlJc w:val="left"/>
      <w:pPr>
        <w:tabs>
          <w:tab w:val="num" w:pos="6120"/>
        </w:tabs>
        <w:ind w:left="6120" w:hanging="360"/>
      </w:pPr>
      <w:rPr>
        <w:rFonts w:hint="default"/>
      </w:rPr>
    </w:lvl>
    <w:lvl w:ilvl="7">
      <w:start w:val="1"/>
      <w:numFmt w:val="decimal"/>
      <w:lvlText w:val="%8."/>
      <w:lvlJc w:val="left"/>
      <w:pPr>
        <w:tabs>
          <w:tab w:val="num" w:pos="6840"/>
        </w:tabs>
        <w:ind w:left="6840" w:hanging="360"/>
      </w:pPr>
      <w:rPr>
        <w:rFonts w:hint="default"/>
      </w:rPr>
    </w:lvl>
    <w:lvl w:ilvl="8">
      <w:start w:val="1"/>
      <w:numFmt w:val="decimal"/>
      <w:lvlText w:val="%9."/>
      <w:lvlJc w:val="left"/>
      <w:pPr>
        <w:tabs>
          <w:tab w:val="num" w:pos="7560"/>
        </w:tabs>
        <w:ind w:left="7560" w:hanging="360"/>
      </w:pPr>
      <w:rPr>
        <w:rFonts w:hint="default"/>
      </w:rPr>
    </w:lvl>
  </w:abstractNum>
  <w:abstractNum w:abstractNumId="17" w15:restartNumberingAfterBreak="0">
    <w:nsid w:val="55196C90"/>
    <w:multiLevelType w:val="multilevel"/>
    <w:tmpl w:val="7E10A2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554E6978"/>
    <w:multiLevelType w:val="multilevel"/>
    <w:tmpl w:val="AA226DF6"/>
    <w:lvl w:ilvl="0">
      <w:start w:val="1"/>
      <w:numFmt w:val="decimal"/>
      <w:lvlText w:val="%1."/>
      <w:lvlJc w:val="left"/>
      <w:pPr>
        <w:tabs>
          <w:tab w:val="num" w:pos="720"/>
        </w:tabs>
        <w:ind w:left="720" w:hanging="360"/>
      </w:pPr>
      <w:rPr>
        <w:rFonts w:hint="default"/>
        <w:b/>
        <w:bCs/>
        <w:color w:val="CC0000"/>
      </w:rPr>
    </w:lvl>
    <w:lvl w:ilvl="1">
      <w:start w:val="2"/>
      <w:numFmt w:val="decimal"/>
      <w:lvlText w:val="%2."/>
      <w:lvlJc w:val="left"/>
      <w:pPr>
        <w:tabs>
          <w:tab w:val="num" w:pos="1440"/>
        </w:tabs>
        <w:ind w:left="1440" w:hanging="360"/>
      </w:pPr>
      <w:rPr>
        <w:rFonts w:hint="default"/>
        <w:color w:val="FF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55C94A53"/>
    <w:multiLevelType w:val="multilevel"/>
    <w:tmpl w:val="7E10A21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57940FFC"/>
    <w:multiLevelType w:val="hybridMultilevel"/>
    <w:tmpl w:val="C9929B04"/>
    <w:lvl w:ilvl="0" w:tplc="69767482">
      <w:start w:val="1"/>
      <w:numFmt w:val="decimal"/>
      <w:lvlText w:val="%1."/>
      <w:lvlJc w:val="left"/>
      <w:pPr>
        <w:ind w:left="720" w:hanging="360"/>
      </w:pPr>
      <w:rPr>
        <w:b/>
        <w:bCs/>
        <w:color w:val="CC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0D7980"/>
    <w:multiLevelType w:val="hybridMultilevel"/>
    <w:tmpl w:val="B052D1E0"/>
    <w:lvl w:ilvl="0" w:tplc="3036F8DE">
      <w:start w:val="1"/>
      <w:numFmt w:val="decimal"/>
      <w:lvlText w:val="%1."/>
      <w:lvlJc w:val="left"/>
      <w:pPr>
        <w:ind w:left="720" w:hanging="360"/>
      </w:pPr>
      <w:rPr>
        <w:b/>
        <w:bCs/>
        <w:color w:val="CC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41E1F1E"/>
    <w:multiLevelType w:val="hybridMultilevel"/>
    <w:tmpl w:val="136422C2"/>
    <w:lvl w:ilvl="0" w:tplc="E5D25CF4">
      <w:start w:val="1"/>
      <w:numFmt w:val="bullet"/>
      <w:lvlText w:val="•"/>
      <w:lvlJc w:val="left"/>
      <w:pPr>
        <w:tabs>
          <w:tab w:val="num" w:pos="720"/>
        </w:tabs>
        <w:ind w:left="720" w:hanging="360"/>
      </w:pPr>
      <w:rPr>
        <w:rFonts w:ascii="Arial" w:hAnsi="Arial" w:hint="default"/>
      </w:rPr>
    </w:lvl>
    <w:lvl w:ilvl="1" w:tplc="6458DABC" w:tentative="1">
      <w:start w:val="1"/>
      <w:numFmt w:val="bullet"/>
      <w:lvlText w:val="•"/>
      <w:lvlJc w:val="left"/>
      <w:pPr>
        <w:tabs>
          <w:tab w:val="num" w:pos="1440"/>
        </w:tabs>
        <w:ind w:left="1440" w:hanging="360"/>
      </w:pPr>
      <w:rPr>
        <w:rFonts w:ascii="Arial" w:hAnsi="Arial" w:hint="default"/>
      </w:rPr>
    </w:lvl>
    <w:lvl w:ilvl="2" w:tplc="0A104D9A" w:tentative="1">
      <w:start w:val="1"/>
      <w:numFmt w:val="bullet"/>
      <w:lvlText w:val="•"/>
      <w:lvlJc w:val="left"/>
      <w:pPr>
        <w:tabs>
          <w:tab w:val="num" w:pos="2160"/>
        </w:tabs>
        <w:ind w:left="2160" w:hanging="360"/>
      </w:pPr>
      <w:rPr>
        <w:rFonts w:ascii="Arial" w:hAnsi="Arial" w:hint="default"/>
      </w:rPr>
    </w:lvl>
    <w:lvl w:ilvl="3" w:tplc="800484B2" w:tentative="1">
      <w:start w:val="1"/>
      <w:numFmt w:val="bullet"/>
      <w:lvlText w:val="•"/>
      <w:lvlJc w:val="left"/>
      <w:pPr>
        <w:tabs>
          <w:tab w:val="num" w:pos="2880"/>
        </w:tabs>
        <w:ind w:left="2880" w:hanging="360"/>
      </w:pPr>
      <w:rPr>
        <w:rFonts w:ascii="Arial" w:hAnsi="Arial" w:hint="default"/>
      </w:rPr>
    </w:lvl>
    <w:lvl w:ilvl="4" w:tplc="06B6C250" w:tentative="1">
      <w:start w:val="1"/>
      <w:numFmt w:val="bullet"/>
      <w:lvlText w:val="•"/>
      <w:lvlJc w:val="left"/>
      <w:pPr>
        <w:tabs>
          <w:tab w:val="num" w:pos="3600"/>
        </w:tabs>
        <w:ind w:left="3600" w:hanging="360"/>
      </w:pPr>
      <w:rPr>
        <w:rFonts w:ascii="Arial" w:hAnsi="Arial" w:hint="default"/>
      </w:rPr>
    </w:lvl>
    <w:lvl w:ilvl="5" w:tplc="0E0642BA" w:tentative="1">
      <w:start w:val="1"/>
      <w:numFmt w:val="bullet"/>
      <w:lvlText w:val="•"/>
      <w:lvlJc w:val="left"/>
      <w:pPr>
        <w:tabs>
          <w:tab w:val="num" w:pos="4320"/>
        </w:tabs>
        <w:ind w:left="4320" w:hanging="360"/>
      </w:pPr>
      <w:rPr>
        <w:rFonts w:ascii="Arial" w:hAnsi="Arial" w:hint="default"/>
      </w:rPr>
    </w:lvl>
    <w:lvl w:ilvl="6" w:tplc="4784F9E0" w:tentative="1">
      <w:start w:val="1"/>
      <w:numFmt w:val="bullet"/>
      <w:lvlText w:val="•"/>
      <w:lvlJc w:val="left"/>
      <w:pPr>
        <w:tabs>
          <w:tab w:val="num" w:pos="5040"/>
        </w:tabs>
        <w:ind w:left="5040" w:hanging="360"/>
      </w:pPr>
      <w:rPr>
        <w:rFonts w:ascii="Arial" w:hAnsi="Arial" w:hint="default"/>
      </w:rPr>
    </w:lvl>
    <w:lvl w:ilvl="7" w:tplc="9A74D742" w:tentative="1">
      <w:start w:val="1"/>
      <w:numFmt w:val="bullet"/>
      <w:lvlText w:val="•"/>
      <w:lvlJc w:val="left"/>
      <w:pPr>
        <w:tabs>
          <w:tab w:val="num" w:pos="5760"/>
        </w:tabs>
        <w:ind w:left="5760" w:hanging="360"/>
      </w:pPr>
      <w:rPr>
        <w:rFonts w:ascii="Arial" w:hAnsi="Arial" w:hint="default"/>
      </w:rPr>
    </w:lvl>
    <w:lvl w:ilvl="8" w:tplc="BBE86D2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95E7B91"/>
    <w:multiLevelType w:val="hybridMultilevel"/>
    <w:tmpl w:val="6EA41F22"/>
    <w:lvl w:ilvl="0" w:tplc="AE5C99DC">
      <w:start w:val="1"/>
      <w:numFmt w:val="decimal"/>
      <w:lvlText w:val="%1."/>
      <w:lvlJc w:val="left"/>
      <w:pPr>
        <w:ind w:left="720" w:hanging="360"/>
      </w:pPr>
      <w:rPr>
        <w:rFonts w:asciiTheme="minorHAnsi" w:hAnsiTheme="minorHAnsi" w:cstheme="minorHAnsi" w:hint="default"/>
        <w:b/>
        <w:bCs/>
        <w:color w:val="CC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2374E2"/>
    <w:multiLevelType w:val="hybridMultilevel"/>
    <w:tmpl w:val="C4801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677B18"/>
    <w:multiLevelType w:val="hybridMultilevel"/>
    <w:tmpl w:val="592E90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1563F8E"/>
    <w:multiLevelType w:val="hybridMultilevel"/>
    <w:tmpl w:val="EF36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8F50FF"/>
    <w:multiLevelType w:val="hybridMultilevel"/>
    <w:tmpl w:val="FCE21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2897259">
    <w:abstractNumId w:val="24"/>
  </w:num>
  <w:num w:numId="2" w16cid:durableId="1042363986">
    <w:abstractNumId w:val="11"/>
  </w:num>
  <w:num w:numId="3" w16cid:durableId="1281960647">
    <w:abstractNumId w:val="18"/>
  </w:num>
  <w:num w:numId="4" w16cid:durableId="1839693384">
    <w:abstractNumId w:val="25"/>
  </w:num>
  <w:num w:numId="5" w16cid:durableId="1794323442">
    <w:abstractNumId w:val="1"/>
  </w:num>
  <w:num w:numId="6" w16cid:durableId="978267882">
    <w:abstractNumId w:val="3"/>
  </w:num>
  <w:num w:numId="7" w16cid:durableId="628895922">
    <w:abstractNumId w:val="16"/>
  </w:num>
  <w:num w:numId="8" w16cid:durableId="558707033">
    <w:abstractNumId w:val="23"/>
  </w:num>
  <w:num w:numId="9" w16cid:durableId="435364973">
    <w:abstractNumId w:val="9"/>
  </w:num>
  <w:num w:numId="10" w16cid:durableId="1943221718">
    <w:abstractNumId w:val="6"/>
  </w:num>
  <w:num w:numId="11" w16cid:durableId="652636726">
    <w:abstractNumId w:val="20"/>
  </w:num>
  <w:num w:numId="12" w16cid:durableId="117145003">
    <w:abstractNumId w:val="15"/>
  </w:num>
  <w:num w:numId="13" w16cid:durableId="349836195">
    <w:abstractNumId w:val="4"/>
  </w:num>
  <w:num w:numId="14" w16cid:durableId="2091612864">
    <w:abstractNumId w:val="21"/>
  </w:num>
  <w:num w:numId="15" w16cid:durableId="293366178">
    <w:abstractNumId w:val="12"/>
  </w:num>
  <w:num w:numId="16" w16cid:durableId="691610382">
    <w:abstractNumId w:val="0"/>
  </w:num>
  <w:num w:numId="17" w16cid:durableId="1167284448">
    <w:abstractNumId w:val="19"/>
  </w:num>
  <w:num w:numId="18" w16cid:durableId="1483958911">
    <w:abstractNumId w:val="14"/>
  </w:num>
  <w:num w:numId="19" w16cid:durableId="1519393518">
    <w:abstractNumId w:val="17"/>
  </w:num>
  <w:num w:numId="20" w16cid:durableId="70155208">
    <w:abstractNumId w:val="2"/>
  </w:num>
  <w:num w:numId="21" w16cid:durableId="1612321482">
    <w:abstractNumId w:val="26"/>
  </w:num>
  <w:num w:numId="22" w16cid:durableId="293759579">
    <w:abstractNumId w:val="27"/>
  </w:num>
  <w:num w:numId="23" w16cid:durableId="2002152749">
    <w:abstractNumId w:val="7"/>
  </w:num>
  <w:num w:numId="24" w16cid:durableId="612706662">
    <w:abstractNumId w:val="8"/>
  </w:num>
  <w:num w:numId="25" w16cid:durableId="1416822814">
    <w:abstractNumId w:val="10"/>
  </w:num>
  <w:num w:numId="26" w16cid:durableId="1569417107">
    <w:abstractNumId w:val="5"/>
  </w:num>
  <w:num w:numId="27" w16cid:durableId="306056624">
    <w:abstractNumId w:val="13"/>
  </w:num>
  <w:num w:numId="28" w16cid:durableId="3285235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0B8"/>
    <w:rsid w:val="00001CA0"/>
    <w:rsid w:val="00003995"/>
    <w:rsid w:val="00004301"/>
    <w:rsid w:val="00005F4F"/>
    <w:rsid w:val="00006A07"/>
    <w:rsid w:val="00016FED"/>
    <w:rsid w:val="00024D9D"/>
    <w:rsid w:val="000269E1"/>
    <w:rsid w:val="00042DFA"/>
    <w:rsid w:val="00043F75"/>
    <w:rsid w:val="00050A84"/>
    <w:rsid w:val="000529BE"/>
    <w:rsid w:val="00056604"/>
    <w:rsid w:val="00060E95"/>
    <w:rsid w:val="00066946"/>
    <w:rsid w:val="00067C2E"/>
    <w:rsid w:val="000877C0"/>
    <w:rsid w:val="00091ECC"/>
    <w:rsid w:val="00094E59"/>
    <w:rsid w:val="000B0911"/>
    <w:rsid w:val="000B12E9"/>
    <w:rsid w:val="000B28E0"/>
    <w:rsid w:val="000B58DD"/>
    <w:rsid w:val="000C09C6"/>
    <w:rsid w:val="000C64E3"/>
    <w:rsid w:val="000C652C"/>
    <w:rsid w:val="000C6799"/>
    <w:rsid w:val="000E47A4"/>
    <w:rsid w:val="000E7077"/>
    <w:rsid w:val="00101C02"/>
    <w:rsid w:val="00104BDF"/>
    <w:rsid w:val="00113F89"/>
    <w:rsid w:val="00115000"/>
    <w:rsid w:val="00123E31"/>
    <w:rsid w:val="00124669"/>
    <w:rsid w:val="001246F8"/>
    <w:rsid w:val="001250DF"/>
    <w:rsid w:val="00145C8F"/>
    <w:rsid w:val="00157C5F"/>
    <w:rsid w:val="00160FF0"/>
    <w:rsid w:val="0016286F"/>
    <w:rsid w:val="0018370B"/>
    <w:rsid w:val="0018672B"/>
    <w:rsid w:val="0019358A"/>
    <w:rsid w:val="001A2FB0"/>
    <w:rsid w:val="001A5E26"/>
    <w:rsid w:val="001A727D"/>
    <w:rsid w:val="001B0751"/>
    <w:rsid w:val="001B0EDD"/>
    <w:rsid w:val="001C253D"/>
    <w:rsid w:val="001C5760"/>
    <w:rsid w:val="001C7BC3"/>
    <w:rsid w:val="001D1FB2"/>
    <w:rsid w:val="001F2D3F"/>
    <w:rsid w:val="00200916"/>
    <w:rsid w:val="002052F2"/>
    <w:rsid w:val="00210E59"/>
    <w:rsid w:val="00224D6F"/>
    <w:rsid w:val="00231590"/>
    <w:rsid w:val="0023266D"/>
    <w:rsid w:val="00234DD1"/>
    <w:rsid w:val="002470B7"/>
    <w:rsid w:val="00256561"/>
    <w:rsid w:val="002619E2"/>
    <w:rsid w:val="00261F2B"/>
    <w:rsid w:val="00265E73"/>
    <w:rsid w:val="00271B88"/>
    <w:rsid w:val="00272BEE"/>
    <w:rsid w:val="002730CA"/>
    <w:rsid w:val="002811B4"/>
    <w:rsid w:val="002906E6"/>
    <w:rsid w:val="00295D9B"/>
    <w:rsid w:val="002C1310"/>
    <w:rsid w:val="002C727C"/>
    <w:rsid w:val="002C79BE"/>
    <w:rsid w:val="002D2526"/>
    <w:rsid w:val="002D4F6B"/>
    <w:rsid w:val="002E3107"/>
    <w:rsid w:val="002E56F5"/>
    <w:rsid w:val="002E57BD"/>
    <w:rsid w:val="002E6459"/>
    <w:rsid w:val="002E6AFE"/>
    <w:rsid w:val="002E718C"/>
    <w:rsid w:val="002F0E7D"/>
    <w:rsid w:val="002F6067"/>
    <w:rsid w:val="002F689B"/>
    <w:rsid w:val="002F6C9F"/>
    <w:rsid w:val="00301BC4"/>
    <w:rsid w:val="00312922"/>
    <w:rsid w:val="0031620D"/>
    <w:rsid w:val="00320452"/>
    <w:rsid w:val="003206DF"/>
    <w:rsid w:val="003258F5"/>
    <w:rsid w:val="00327D58"/>
    <w:rsid w:val="00331674"/>
    <w:rsid w:val="00340191"/>
    <w:rsid w:val="003515F7"/>
    <w:rsid w:val="003613FA"/>
    <w:rsid w:val="00370327"/>
    <w:rsid w:val="0037110A"/>
    <w:rsid w:val="003743B3"/>
    <w:rsid w:val="00381F4B"/>
    <w:rsid w:val="00382135"/>
    <w:rsid w:val="00382B7A"/>
    <w:rsid w:val="00385C95"/>
    <w:rsid w:val="00392F5D"/>
    <w:rsid w:val="003A1741"/>
    <w:rsid w:val="003A6F2D"/>
    <w:rsid w:val="003B7415"/>
    <w:rsid w:val="003C1289"/>
    <w:rsid w:val="003C2AC1"/>
    <w:rsid w:val="003C3C5A"/>
    <w:rsid w:val="003C5BCA"/>
    <w:rsid w:val="003E1F07"/>
    <w:rsid w:val="003F2203"/>
    <w:rsid w:val="003F238D"/>
    <w:rsid w:val="00405D87"/>
    <w:rsid w:val="00425D66"/>
    <w:rsid w:val="004267D5"/>
    <w:rsid w:val="00432423"/>
    <w:rsid w:val="004337B7"/>
    <w:rsid w:val="00446C94"/>
    <w:rsid w:val="00446CA4"/>
    <w:rsid w:val="00454503"/>
    <w:rsid w:val="004551A8"/>
    <w:rsid w:val="00461759"/>
    <w:rsid w:val="00461B6D"/>
    <w:rsid w:val="00463BCA"/>
    <w:rsid w:val="004839AC"/>
    <w:rsid w:val="004905C5"/>
    <w:rsid w:val="004954E9"/>
    <w:rsid w:val="004971CB"/>
    <w:rsid w:val="0049736C"/>
    <w:rsid w:val="004A07E9"/>
    <w:rsid w:val="004A0981"/>
    <w:rsid w:val="004B38E4"/>
    <w:rsid w:val="004C7963"/>
    <w:rsid w:val="004D08CD"/>
    <w:rsid w:val="004D34F4"/>
    <w:rsid w:val="004D6D81"/>
    <w:rsid w:val="004E0ED8"/>
    <w:rsid w:val="004E73A7"/>
    <w:rsid w:val="005104F9"/>
    <w:rsid w:val="00511BA1"/>
    <w:rsid w:val="00514485"/>
    <w:rsid w:val="00517C7F"/>
    <w:rsid w:val="00521895"/>
    <w:rsid w:val="00525F26"/>
    <w:rsid w:val="005439A0"/>
    <w:rsid w:val="005448C2"/>
    <w:rsid w:val="00546CDB"/>
    <w:rsid w:val="00550A64"/>
    <w:rsid w:val="00555D17"/>
    <w:rsid w:val="00565E79"/>
    <w:rsid w:val="00574891"/>
    <w:rsid w:val="0057779D"/>
    <w:rsid w:val="00584DC3"/>
    <w:rsid w:val="0059274A"/>
    <w:rsid w:val="00594A99"/>
    <w:rsid w:val="005A0C53"/>
    <w:rsid w:val="005C2229"/>
    <w:rsid w:val="005C5D94"/>
    <w:rsid w:val="005C6A6D"/>
    <w:rsid w:val="005C735F"/>
    <w:rsid w:val="005C7E4C"/>
    <w:rsid w:val="005D33E4"/>
    <w:rsid w:val="005D41D8"/>
    <w:rsid w:val="005D681E"/>
    <w:rsid w:val="005E37B3"/>
    <w:rsid w:val="005F1D1B"/>
    <w:rsid w:val="005F649A"/>
    <w:rsid w:val="005F6D65"/>
    <w:rsid w:val="006015A7"/>
    <w:rsid w:val="006047A2"/>
    <w:rsid w:val="00614CF2"/>
    <w:rsid w:val="00616941"/>
    <w:rsid w:val="00624D9F"/>
    <w:rsid w:val="00627A16"/>
    <w:rsid w:val="00627F2D"/>
    <w:rsid w:val="00632A2F"/>
    <w:rsid w:val="00635909"/>
    <w:rsid w:val="00635A57"/>
    <w:rsid w:val="00641D9F"/>
    <w:rsid w:val="0064390F"/>
    <w:rsid w:val="00651B4A"/>
    <w:rsid w:val="0065651F"/>
    <w:rsid w:val="0065726D"/>
    <w:rsid w:val="00661CC7"/>
    <w:rsid w:val="0067364F"/>
    <w:rsid w:val="0067434F"/>
    <w:rsid w:val="00686E5F"/>
    <w:rsid w:val="00693835"/>
    <w:rsid w:val="00693BBF"/>
    <w:rsid w:val="006A00F1"/>
    <w:rsid w:val="006A6081"/>
    <w:rsid w:val="006A64EC"/>
    <w:rsid w:val="006B6A58"/>
    <w:rsid w:val="006D3E77"/>
    <w:rsid w:val="006D5314"/>
    <w:rsid w:val="006E4B32"/>
    <w:rsid w:val="006F47E5"/>
    <w:rsid w:val="006F62E9"/>
    <w:rsid w:val="006F650F"/>
    <w:rsid w:val="006F7F96"/>
    <w:rsid w:val="00700F09"/>
    <w:rsid w:val="00703FDB"/>
    <w:rsid w:val="007062BB"/>
    <w:rsid w:val="00710C8D"/>
    <w:rsid w:val="007136A2"/>
    <w:rsid w:val="00727C95"/>
    <w:rsid w:val="00732768"/>
    <w:rsid w:val="007378B5"/>
    <w:rsid w:val="007511C0"/>
    <w:rsid w:val="0076588D"/>
    <w:rsid w:val="00792DED"/>
    <w:rsid w:val="00797748"/>
    <w:rsid w:val="007B0140"/>
    <w:rsid w:val="007B4C8C"/>
    <w:rsid w:val="007B6287"/>
    <w:rsid w:val="007B7691"/>
    <w:rsid w:val="007D20B5"/>
    <w:rsid w:val="007D3208"/>
    <w:rsid w:val="007D53F8"/>
    <w:rsid w:val="007D57C5"/>
    <w:rsid w:val="007E60B8"/>
    <w:rsid w:val="007E6FEF"/>
    <w:rsid w:val="007F0BC9"/>
    <w:rsid w:val="007F4580"/>
    <w:rsid w:val="008046A5"/>
    <w:rsid w:val="008236CB"/>
    <w:rsid w:val="00827C47"/>
    <w:rsid w:val="0083522E"/>
    <w:rsid w:val="00837F41"/>
    <w:rsid w:val="00844310"/>
    <w:rsid w:val="00847CF3"/>
    <w:rsid w:val="00851358"/>
    <w:rsid w:val="00855E41"/>
    <w:rsid w:val="00860127"/>
    <w:rsid w:val="008759C6"/>
    <w:rsid w:val="00880F8D"/>
    <w:rsid w:val="00881ECA"/>
    <w:rsid w:val="008825FC"/>
    <w:rsid w:val="00887D79"/>
    <w:rsid w:val="00887E02"/>
    <w:rsid w:val="008904FC"/>
    <w:rsid w:val="00891E2B"/>
    <w:rsid w:val="00892676"/>
    <w:rsid w:val="008A061B"/>
    <w:rsid w:val="008A0D02"/>
    <w:rsid w:val="008A2972"/>
    <w:rsid w:val="008A7A83"/>
    <w:rsid w:val="008B47D3"/>
    <w:rsid w:val="008B4914"/>
    <w:rsid w:val="008C2411"/>
    <w:rsid w:val="008E11E7"/>
    <w:rsid w:val="008F059C"/>
    <w:rsid w:val="008F2E47"/>
    <w:rsid w:val="008F31FF"/>
    <w:rsid w:val="008F3649"/>
    <w:rsid w:val="008F7FDF"/>
    <w:rsid w:val="00914876"/>
    <w:rsid w:val="009167CE"/>
    <w:rsid w:val="009215CF"/>
    <w:rsid w:val="0092580E"/>
    <w:rsid w:val="00931BE1"/>
    <w:rsid w:val="009331E2"/>
    <w:rsid w:val="00942B48"/>
    <w:rsid w:val="00964FDC"/>
    <w:rsid w:val="00976E74"/>
    <w:rsid w:val="00995649"/>
    <w:rsid w:val="009A5A5A"/>
    <w:rsid w:val="009C2715"/>
    <w:rsid w:val="009C4BB6"/>
    <w:rsid w:val="009C53BD"/>
    <w:rsid w:val="009D1EFE"/>
    <w:rsid w:val="009E00A5"/>
    <w:rsid w:val="009E7033"/>
    <w:rsid w:val="009E721D"/>
    <w:rsid w:val="00A04925"/>
    <w:rsid w:val="00A171B0"/>
    <w:rsid w:val="00A249E8"/>
    <w:rsid w:val="00A33350"/>
    <w:rsid w:val="00A34DB2"/>
    <w:rsid w:val="00A36599"/>
    <w:rsid w:val="00A3688A"/>
    <w:rsid w:val="00A414B0"/>
    <w:rsid w:val="00A43908"/>
    <w:rsid w:val="00A46216"/>
    <w:rsid w:val="00A539B8"/>
    <w:rsid w:val="00A63172"/>
    <w:rsid w:val="00A64B69"/>
    <w:rsid w:val="00A75177"/>
    <w:rsid w:val="00A912E5"/>
    <w:rsid w:val="00AA0FB0"/>
    <w:rsid w:val="00AA16E5"/>
    <w:rsid w:val="00AA1E33"/>
    <w:rsid w:val="00AA2F96"/>
    <w:rsid w:val="00AA57D1"/>
    <w:rsid w:val="00AAC83A"/>
    <w:rsid w:val="00AB1C1F"/>
    <w:rsid w:val="00AB591E"/>
    <w:rsid w:val="00AC252E"/>
    <w:rsid w:val="00AC705F"/>
    <w:rsid w:val="00AD2B59"/>
    <w:rsid w:val="00AD4ED0"/>
    <w:rsid w:val="00AE13E4"/>
    <w:rsid w:val="00AE361A"/>
    <w:rsid w:val="00AE64C2"/>
    <w:rsid w:val="00AF1579"/>
    <w:rsid w:val="00AF19AD"/>
    <w:rsid w:val="00AF32EB"/>
    <w:rsid w:val="00B02936"/>
    <w:rsid w:val="00B14F0A"/>
    <w:rsid w:val="00B16E45"/>
    <w:rsid w:val="00B20B68"/>
    <w:rsid w:val="00B20C4E"/>
    <w:rsid w:val="00B26AAA"/>
    <w:rsid w:val="00B33577"/>
    <w:rsid w:val="00B376AF"/>
    <w:rsid w:val="00B41023"/>
    <w:rsid w:val="00B44CCC"/>
    <w:rsid w:val="00B51B23"/>
    <w:rsid w:val="00B51E52"/>
    <w:rsid w:val="00B7196C"/>
    <w:rsid w:val="00B758C6"/>
    <w:rsid w:val="00B75E3F"/>
    <w:rsid w:val="00B81086"/>
    <w:rsid w:val="00B913E4"/>
    <w:rsid w:val="00B91FCE"/>
    <w:rsid w:val="00B9245E"/>
    <w:rsid w:val="00B95E4D"/>
    <w:rsid w:val="00BA3796"/>
    <w:rsid w:val="00BA7D03"/>
    <w:rsid w:val="00BB0C20"/>
    <w:rsid w:val="00BB4B3F"/>
    <w:rsid w:val="00BB5155"/>
    <w:rsid w:val="00BB7C67"/>
    <w:rsid w:val="00BC0EE4"/>
    <w:rsid w:val="00BC2528"/>
    <w:rsid w:val="00BE25FF"/>
    <w:rsid w:val="00BE41B8"/>
    <w:rsid w:val="00BE4D6E"/>
    <w:rsid w:val="00BF4642"/>
    <w:rsid w:val="00BF6E46"/>
    <w:rsid w:val="00BF761A"/>
    <w:rsid w:val="00C010FB"/>
    <w:rsid w:val="00C01FB0"/>
    <w:rsid w:val="00C0394D"/>
    <w:rsid w:val="00C06637"/>
    <w:rsid w:val="00C13F56"/>
    <w:rsid w:val="00C21757"/>
    <w:rsid w:val="00C24A1F"/>
    <w:rsid w:val="00C33D41"/>
    <w:rsid w:val="00C40C85"/>
    <w:rsid w:val="00C4254E"/>
    <w:rsid w:val="00C46340"/>
    <w:rsid w:val="00C5261E"/>
    <w:rsid w:val="00C57687"/>
    <w:rsid w:val="00C63F11"/>
    <w:rsid w:val="00C65414"/>
    <w:rsid w:val="00C6701A"/>
    <w:rsid w:val="00C702DE"/>
    <w:rsid w:val="00C72FBA"/>
    <w:rsid w:val="00C76843"/>
    <w:rsid w:val="00C7791B"/>
    <w:rsid w:val="00C90AC4"/>
    <w:rsid w:val="00C9512E"/>
    <w:rsid w:val="00C9544F"/>
    <w:rsid w:val="00C971B4"/>
    <w:rsid w:val="00CA643A"/>
    <w:rsid w:val="00CA735C"/>
    <w:rsid w:val="00CB0221"/>
    <w:rsid w:val="00CB514A"/>
    <w:rsid w:val="00CD087A"/>
    <w:rsid w:val="00CD33B8"/>
    <w:rsid w:val="00CF13C0"/>
    <w:rsid w:val="00CF4C8B"/>
    <w:rsid w:val="00D01D2E"/>
    <w:rsid w:val="00D06E0B"/>
    <w:rsid w:val="00D07148"/>
    <w:rsid w:val="00D11E70"/>
    <w:rsid w:val="00D14B43"/>
    <w:rsid w:val="00D25AA4"/>
    <w:rsid w:val="00D262E6"/>
    <w:rsid w:val="00D26407"/>
    <w:rsid w:val="00D4419E"/>
    <w:rsid w:val="00D55D27"/>
    <w:rsid w:val="00D6250D"/>
    <w:rsid w:val="00D66E4F"/>
    <w:rsid w:val="00D672E6"/>
    <w:rsid w:val="00D7284B"/>
    <w:rsid w:val="00D737D5"/>
    <w:rsid w:val="00D8227E"/>
    <w:rsid w:val="00D93626"/>
    <w:rsid w:val="00D964F1"/>
    <w:rsid w:val="00DA7157"/>
    <w:rsid w:val="00DA75D6"/>
    <w:rsid w:val="00DA7919"/>
    <w:rsid w:val="00DB6EF1"/>
    <w:rsid w:val="00DB7CF0"/>
    <w:rsid w:val="00DC35CC"/>
    <w:rsid w:val="00DC64E8"/>
    <w:rsid w:val="00DD3308"/>
    <w:rsid w:val="00DD3E86"/>
    <w:rsid w:val="00DD5925"/>
    <w:rsid w:val="00DD76DF"/>
    <w:rsid w:val="00DE44A1"/>
    <w:rsid w:val="00DE57C9"/>
    <w:rsid w:val="00DF51D6"/>
    <w:rsid w:val="00DF6AC4"/>
    <w:rsid w:val="00E15BAB"/>
    <w:rsid w:val="00E42FDB"/>
    <w:rsid w:val="00E5240D"/>
    <w:rsid w:val="00E556FD"/>
    <w:rsid w:val="00E61246"/>
    <w:rsid w:val="00E70B59"/>
    <w:rsid w:val="00E71A31"/>
    <w:rsid w:val="00E7651B"/>
    <w:rsid w:val="00E87196"/>
    <w:rsid w:val="00E9456B"/>
    <w:rsid w:val="00E97828"/>
    <w:rsid w:val="00EA78E1"/>
    <w:rsid w:val="00EB0A7A"/>
    <w:rsid w:val="00ED491A"/>
    <w:rsid w:val="00ED574A"/>
    <w:rsid w:val="00EE5575"/>
    <w:rsid w:val="00EE6E5F"/>
    <w:rsid w:val="00F03A97"/>
    <w:rsid w:val="00F05517"/>
    <w:rsid w:val="00F12B1C"/>
    <w:rsid w:val="00F15427"/>
    <w:rsid w:val="00F15612"/>
    <w:rsid w:val="00F249AA"/>
    <w:rsid w:val="00F45179"/>
    <w:rsid w:val="00F4718C"/>
    <w:rsid w:val="00F52A18"/>
    <w:rsid w:val="00F52C3E"/>
    <w:rsid w:val="00F61623"/>
    <w:rsid w:val="00F664D1"/>
    <w:rsid w:val="00F70369"/>
    <w:rsid w:val="00F70A64"/>
    <w:rsid w:val="00F7780B"/>
    <w:rsid w:val="00F83AA4"/>
    <w:rsid w:val="00F86F52"/>
    <w:rsid w:val="00FA0F82"/>
    <w:rsid w:val="00FA1F3D"/>
    <w:rsid w:val="00FA7445"/>
    <w:rsid w:val="00FC257C"/>
    <w:rsid w:val="00FD2F21"/>
    <w:rsid w:val="00FD5F0E"/>
    <w:rsid w:val="00FD60B8"/>
    <w:rsid w:val="00FD72F9"/>
    <w:rsid w:val="00FE3AB8"/>
    <w:rsid w:val="00FE576A"/>
    <w:rsid w:val="00FE6850"/>
    <w:rsid w:val="00FF1260"/>
    <w:rsid w:val="00FF6F70"/>
    <w:rsid w:val="036A21CF"/>
    <w:rsid w:val="03AF4557"/>
    <w:rsid w:val="0436B720"/>
    <w:rsid w:val="04B9087E"/>
    <w:rsid w:val="06848451"/>
    <w:rsid w:val="084C6AAC"/>
    <w:rsid w:val="097B70A0"/>
    <w:rsid w:val="0CF80851"/>
    <w:rsid w:val="0D2F9422"/>
    <w:rsid w:val="105CA695"/>
    <w:rsid w:val="111AED3A"/>
    <w:rsid w:val="1172D434"/>
    <w:rsid w:val="1185EB0D"/>
    <w:rsid w:val="12346524"/>
    <w:rsid w:val="123CC79F"/>
    <w:rsid w:val="14401CE3"/>
    <w:rsid w:val="14BED7A8"/>
    <w:rsid w:val="166F3C9C"/>
    <w:rsid w:val="17988991"/>
    <w:rsid w:val="18E6A727"/>
    <w:rsid w:val="1FF5597B"/>
    <w:rsid w:val="1FFFA5DE"/>
    <w:rsid w:val="203FF7D7"/>
    <w:rsid w:val="2094A232"/>
    <w:rsid w:val="229D62AA"/>
    <w:rsid w:val="252F7F85"/>
    <w:rsid w:val="28120EF1"/>
    <w:rsid w:val="2E5AA8AC"/>
    <w:rsid w:val="2FA965FD"/>
    <w:rsid w:val="2FC2C12B"/>
    <w:rsid w:val="304839CE"/>
    <w:rsid w:val="33DEC7E6"/>
    <w:rsid w:val="342F13D3"/>
    <w:rsid w:val="34951DE9"/>
    <w:rsid w:val="351A1C49"/>
    <w:rsid w:val="388B1764"/>
    <w:rsid w:val="38B8AC5E"/>
    <w:rsid w:val="38DB902B"/>
    <w:rsid w:val="390324AC"/>
    <w:rsid w:val="3946E07D"/>
    <w:rsid w:val="39C58297"/>
    <w:rsid w:val="3A973059"/>
    <w:rsid w:val="3B36E5BE"/>
    <w:rsid w:val="3B55684F"/>
    <w:rsid w:val="3B8D326B"/>
    <w:rsid w:val="3F54EB64"/>
    <w:rsid w:val="407DFA33"/>
    <w:rsid w:val="42A2423E"/>
    <w:rsid w:val="43EA2213"/>
    <w:rsid w:val="47124B50"/>
    <w:rsid w:val="47CA69D6"/>
    <w:rsid w:val="4B6CDF1B"/>
    <w:rsid w:val="4C7DF0CB"/>
    <w:rsid w:val="4D454076"/>
    <w:rsid w:val="4EAF2CFA"/>
    <w:rsid w:val="4FF207B4"/>
    <w:rsid w:val="504D6043"/>
    <w:rsid w:val="519E499E"/>
    <w:rsid w:val="51A568A5"/>
    <w:rsid w:val="528E7A35"/>
    <w:rsid w:val="52EA7814"/>
    <w:rsid w:val="53CF250E"/>
    <w:rsid w:val="55CFD03B"/>
    <w:rsid w:val="56D3BEF6"/>
    <w:rsid w:val="57051537"/>
    <w:rsid w:val="57A369D6"/>
    <w:rsid w:val="59EFD62B"/>
    <w:rsid w:val="5A3C5DEC"/>
    <w:rsid w:val="5A7020F4"/>
    <w:rsid w:val="5C56A9C0"/>
    <w:rsid w:val="5C941495"/>
    <w:rsid w:val="5CC60C60"/>
    <w:rsid w:val="5CEFA330"/>
    <w:rsid w:val="5D33D0D1"/>
    <w:rsid w:val="5D3D04BB"/>
    <w:rsid w:val="5D6EAF2B"/>
    <w:rsid w:val="5DF58DC5"/>
    <w:rsid w:val="5EB7DDD1"/>
    <w:rsid w:val="60B34AEA"/>
    <w:rsid w:val="60C0789F"/>
    <w:rsid w:val="626611F9"/>
    <w:rsid w:val="637E26A3"/>
    <w:rsid w:val="64EFF1F3"/>
    <w:rsid w:val="66F279B3"/>
    <w:rsid w:val="6960FB5A"/>
    <w:rsid w:val="69E75B48"/>
    <w:rsid w:val="6B0765E0"/>
    <w:rsid w:val="6B681D1C"/>
    <w:rsid w:val="6C478EF6"/>
    <w:rsid w:val="6E81B599"/>
    <w:rsid w:val="6F06CEAE"/>
    <w:rsid w:val="6F264AE6"/>
    <w:rsid w:val="7184397D"/>
    <w:rsid w:val="74110439"/>
    <w:rsid w:val="74D60738"/>
    <w:rsid w:val="75B5C355"/>
    <w:rsid w:val="77E9E9C2"/>
    <w:rsid w:val="798D84FA"/>
    <w:rsid w:val="7BB7DE25"/>
    <w:rsid w:val="7E299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FED10"/>
  <w15:chartTrackingRefBased/>
  <w15:docId w15:val="{FC7A41F6-A679-4B1C-A26D-E95478EFB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2D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515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515F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515F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614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614C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614CF2"/>
  </w:style>
  <w:style w:type="character" w:customStyle="1" w:styleId="textrun">
    <w:name w:val="textrun"/>
    <w:basedOn w:val="DefaultParagraphFont"/>
    <w:rsid w:val="00614CF2"/>
  </w:style>
  <w:style w:type="character" w:customStyle="1" w:styleId="normaltextrun">
    <w:name w:val="normaltextrun"/>
    <w:basedOn w:val="DefaultParagraphFont"/>
    <w:rsid w:val="00614CF2"/>
  </w:style>
  <w:style w:type="character" w:customStyle="1" w:styleId="wacimagecontainer">
    <w:name w:val="wacimagecontainer"/>
    <w:basedOn w:val="DefaultParagraphFont"/>
    <w:rsid w:val="00614CF2"/>
  </w:style>
  <w:style w:type="character" w:customStyle="1" w:styleId="wacimageborder">
    <w:name w:val="wacimageborder"/>
    <w:basedOn w:val="DefaultParagraphFont"/>
    <w:rsid w:val="00614CF2"/>
  </w:style>
  <w:style w:type="paragraph" w:customStyle="1" w:styleId="outlineelement">
    <w:name w:val="outlineelement"/>
    <w:basedOn w:val="Normal"/>
    <w:rsid w:val="00614CF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14CF2"/>
    <w:rPr>
      <w:color w:val="0000FF"/>
      <w:u w:val="single"/>
    </w:rPr>
  </w:style>
  <w:style w:type="character" w:styleId="FollowedHyperlink">
    <w:name w:val="FollowedHyperlink"/>
    <w:basedOn w:val="DefaultParagraphFont"/>
    <w:uiPriority w:val="99"/>
    <w:semiHidden/>
    <w:unhideWhenUsed/>
    <w:rsid w:val="00614CF2"/>
    <w:rPr>
      <w:color w:val="800080"/>
      <w:u w:val="single"/>
    </w:rPr>
  </w:style>
  <w:style w:type="character" w:customStyle="1" w:styleId="advancedproofingissue">
    <w:name w:val="advancedproofingissue"/>
    <w:basedOn w:val="DefaultParagraphFont"/>
    <w:rsid w:val="00614CF2"/>
  </w:style>
  <w:style w:type="character" w:customStyle="1" w:styleId="wacimageplaceholder">
    <w:name w:val="wacimageplaceholder"/>
    <w:basedOn w:val="DefaultParagraphFont"/>
    <w:rsid w:val="00614CF2"/>
  </w:style>
  <w:style w:type="character" w:customStyle="1" w:styleId="wacprogress">
    <w:name w:val="wacprogress"/>
    <w:basedOn w:val="DefaultParagraphFont"/>
    <w:rsid w:val="00614CF2"/>
  </w:style>
  <w:style w:type="character" w:customStyle="1" w:styleId="wacimageplaceholderfiller">
    <w:name w:val="wacimageplaceholderfiller"/>
    <w:basedOn w:val="DefaultParagraphFont"/>
    <w:rsid w:val="00614CF2"/>
  </w:style>
  <w:style w:type="character" w:customStyle="1" w:styleId="fieldrange">
    <w:name w:val="fieldrange"/>
    <w:basedOn w:val="DefaultParagraphFont"/>
    <w:rsid w:val="00614CF2"/>
  </w:style>
  <w:style w:type="character" w:customStyle="1" w:styleId="contextualspellingandgrammarerror">
    <w:name w:val="contextualspellingandgrammarerror"/>
    <w:basedOn w:val="DefaultParagraphFont"/>
    <w:rsid w:val="00614CF2"/>
  </w:style>
  <w:style w:type="character" w:customStyle="1" w:styleId="pagebreakblob">
    <w:name w:val="pagebreakblob"/>
    <w:basedOn w:val="DefaultParagraphFont"/>
    <w:rsid w:val="00614CF2"/>
  </w:style>
  <w:style w:type="character" w:customStyle="1" w:styleId="pagebreakborderspan">
    <w:name w:val="pagebreakborderspan"/>
    <w:basedOn w:val="DefaultParagraphFont"/>
    <w:rsid w:val="00614CF2"/>
  </w:style>
  <w:style w:type="character" w:customStyle="1" w:styleId="pagebreaktextspan">
    <w:name w:val="pagebreaktextspan"/>
    <w:basedOn w:val="DefaultParagraphFont"/>
    <w:rsid w:val="00614CF2"/>
  </w:style>
  <w:style w:type="character" w:customStyle="1" w:styleId="wacimagegroupcontainer">
    <w:name w:val="wacimagegroupcontainer"/>
    <w:basedOn w:val="DefaultParagraphFont"/>
    <w:rsid w:val="00614CF2"/>
  </w:style>
  <w:style w:type="character" w:customStyle="1" w:styleId="superscript">
    <w:name w:val="superscript"/>
    <w:basedOn w:val="DefaultParagraphFont"/>
    <w:rsid w:val="00614CF2"/>
  </w:style>
  <w:style w:type="character" w:customStyle="1" w:styleId="contentcontrolboundarysink">
    <w:name w:val="contentcontrolboundarysink"/>
    <w:basedOn w:val="DefaultParagraphFont"/>
    <w:rsid w:val="001F2D3F"/>
  </w:style>
  <w:style w:type="character" w:customStyle="1" w:styleId="Heading1Char">
    <w:name w:val="Heading 1 Char"/>
    <w:basedOn w:val="DefaultParagraphFont"/>
    <w:link w:val="Heading1"/>
    <w:uiPriority w:val="9"/>
    <w:rsid w:val="001F2D3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3266D"/>
    <w:pPr>
      <w:outlineLvl w:val="9"/>
    </w:pPr>
  </w:style>
  <w:style w:type="paragraph" w:styleId="TOC1">
    <w:name w:val="toc 1"/>
    <w:basedOn w:val="Normal"/>
    <w:next w:val="Normal"/>
    <w:autoRedefine/>
    <w:uiPriority w:val="39"/>
    <w:unhideWhenUsed/>
    <w:rsid w:val="0023266D"/>
    <w:pPr>
      <w:spacing w:after="100"/>
    </w:pPr>
  </w:style>
  <w:style w:type="paragraph" w:styleId="ListParagraph">
    <w:name w:val="List Paragraph"/>
    <w:basedOn w:val="Normal"/>
    <w:uiPriority w:val="34"/>
    <w:qFormat/>
    <w:rsid w:val="003515F7"/>
    <w:pPr>
      <w:ind w:left="720"/>
      <w:contextualSpacing/>
    </w:pPr>
  </w:style>
  <w:style w:type="paragraph" w:styleId="Header">
    <w:name w:val="header"/>
    <w:basedOn w:val="Normal"/>
    <w:link w:val="HeaderChar"/>
    <w:uiPriority w:val="99"/>
    <w:unhideWhenUsed/>
    <w:rsid w:val="003515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15F7"/>
  </w:style>
  <w:style w:type="paragraph" w:styleId="Footer">
    <w:name w:val="footer"/>
    <w:basedOn w:val="Normal"/>
    <w:link w:val="FooterChar"/>
    <w:uiPriority w:val="99"/>
    <w:unhideWhenUsed/>
    <w:rsid w:val="003515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15F7"/>
  </w:style>
  <w:style w:type="character" w:customStyle="1" w:styleId="Heading2Char">
    <w:name w:val="Heading 2 Char"/>
    <w:basedOn w:val="DefaultParagraphFont"/>
    <w:link w:val="Heading2"/>
    <w:uiPriority w:val="9"/>
    <w:rsid w:val="003515F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515F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515F7"/>
    <w:rPr>
      <w:rFonts w:asciiTheme="majorHAnsi" w:eastAsiaTheme="majorEastAsia" w:hAnsiTheme="majorHAnsi" w:cstheme="majorBidi"/>
      <w:i/>
      <w:iCs/>
      <w:color w:val="2F5496" w:themeColor="accent1" w:themeShade="BF"/>
    </w:rPr>
  </w:style>
  <w:style w:type="paragraph" w:styleId="TOC2">
    <w:name w:val="toc 2"/>
    <w:basedOn w:val="Normal"/>
    <w:next w:val="Normal"/>
    <w:autoRedefine/>
    <w:uiPriority w:val="39"/>
    <w:unhideWhenUsed/>
    <w:rsid w:val="00AA0FB0"/>
    <w:pPr>
      <w:spacing w:after="100"/>
      <w:ind w:left="220"/>
    </w:pPr>
  </w:style>
  <w:style w:type="paragraph" w:styleId="TOC3">
    <w:name w:val="toc 3"/>
    <w:basedOn w:val="Normal"/>
    <w:next w:val="Normal"/>
    <w:autoRedefine/>
    <w:uiPriority w:val="39"/>
    <w:unhideWhenUsed/>
    <w:rsid w:val="00AA0FB0"/>
    <w:pPr>
      <w:spacing w:after="100"/>
      <w:ind w:left="440"/>
    </w:pPr>
  </w:style>
  <w:style w:type="character" w:styleId="CommentReference">
    <w:name w:val="annotation reference"/>
    <w:basedOn w:val="DefaultParagraphFont"/>
    <w:uiPriority w:val="99"/>
    <w:semiHidden/>
    <w:unhideWhenUsed/>
    <w:rsid w:val="00A04925"/>
    <w:rPr>
      <w:sz w:val="16"/>
      <w:szCs w:val="16"/>
    </w:rPr>
  </w:style>
  <w:style w:type="paragraph" w:styleId="CommentText">
    <w:name w:val="annotation text"/>
    <w:basedOn w:val="Normal"/>
    <w:link w:val="CommentTextChar"/>
    <w:uiPriority w:val="99"/>
    <w:unhideWhenUsed/>
    <w:rsid w:val="00A04925"/>
    <w:pPr>
      <w:spacing w:line="240" w:lineRule="auto"/>
    </w:pPr>
    <w:rPr>
      <w:sz w:val="20"/>
      <w:szCs w:val="20"/>
    </w:rPr>
  </w:style>
  <w:style w:type="character" w:customStyle="1" w:styleId="CommentTextChar">
    <w:name w:val="Comment Text Char"/>
    <w:basedOn w:val="DefaultParagraphFont"/>
    <w:link w:val="CommentText"/>
    <w:uiPriority w:val="99"/>
    <w:rsid w:val="00A04925"/>
    <w:rPr>
      <w:sz w:val="20"/>
      <w:szCs w:val="20"/>
    </w:rPr>
  </w:style>
  <w:style w:type="paragraph" w:styleId="CommentSubject">
    <w:name w:val="annotation subject"/>
    <w:basedOn w:val="CommentText"/>
    <w:next w:val="CommentText"/>
    <w:link w:val="CommentSubjectChar"/>
    <w:uiPriority w:val="99"/>
    <w:semiHidden/>
    <w:unhideWhenUsed/>
    <w:rsid w:val="00A04925"/>
    <w:rPr>
      <w:b/>
      <w:bCs/>
    </w:rPr>
  </w:style>
  <w:style w:type="character" w:customStyle="1" w:styleId="CommentSubjectChar">
    <w:name w:val="Comment Subject Char"/>
    <w:basedOn w:val="CommentTextChar"/>
    <w:link w:val="CommentSubject"/>
    <w:uiPriority w:val="99"/>
    <w:semiHidden/>
    <w:rsid w:val="00A04925"/>
    <w:rPr>
      <w:b/>
      <w:bCs/>
      <w:sz w:val="20"/>
      <w:szCs w:val="20"/>
    </w:rPr>
  </w:style>
  <w:style w:type="character" w:styleId="Mention">
    <w:name w:val="Mention"/>
    <w:basedOn w:val="DefaultParagraphFont"/>
    <w:uiPriority w:val="99"/>
    <w:unhideWhenUsed/>
    <w:rsid w:val="00A04925"/>
    <w:rPr>
      <w:color w:val="2B579A"/>
      <w:shd w:val="clear" w:color="auto" w:fill="E1DFDD"/>
    </w:rPr>
  </w:style>
  <w:style w:type="paragraph" w:styleId="FootnoteText">
    <w:name w:val="footnote text"/>
    <w:basedOn w:val="Normal"/>
    <w:link w:val="FootnoteTextChar"/>
    <w:uiPriority w:val="99"/>
    <w:semiHidden/>
    <w:unhideWhenUsed/>
    <w:rsid w:val="007D32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3208"/>
    <w:rPr>
      <w:sz w:val="20"/>
      <w:szCs w:val="20"/>
    </w:rPr>
  </w:style>
  <w:style w:type="character" w:styleId="FootnoteReference">
    <w:name w:val="footnote reference"/>
    <w:basedOn w:val="DefaultParagraphFont"/>
    <w:uiPriority w:val="99"/>
    <w:semiHidden/>
    <w:unhideWhenUsed/>
    <w:rsid w:val="007D3208"/>
    <w:rPr>
      <w:vertAlign w:val="superscript"/>
    </w:rPr>
  </w:style>
  <w:style w:type="character" w:styleId="UnresolvedMention">
    <w:name w:val="Unresolved Mention"/>
    <w:basedOn w:val="DefaultParagraphFont"/>
    <w:uiPriority w:val="99"/>
    <w:semiHidden/>
    <w:unhideWhenUsed/>
    <w:rsid w:val="00101C02"/>
    <w:rPr>
      <w:color w:val="605E5C"/>
      <w:shd w:val="clear" w:color="auto" w:fill="E1DFDD"/>
    </w:rPr>
  </w:style>
  <w:style w:type="paragraph" w:styleId="Revision">
    <w:name w:val="Revision"/>
    <w:hidden/>
    <w:uiPriority w:val="99"/>
    <w:semiHidden/>
    <w:rsid w:val="000E47A4"/>
    <w:pPr>
      <w:spacing w:after="0" w:line="240" w:lineRule="auto"/>
    </w:pPr>
  </w:style>
  <w:style w:type="table" w:styleId="GridTable1Light-Accent1">
    <w:name w:val="Grid Table 1 Light Accent 1"/>
    <w:basedOn w:val="TableNormal"/>
    <w:uiPriority w:val="46"/>
    <w:rsid w:val="00C0663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1629">
      <w:bodyDiv w:val="1"/>
      <w:marLeft w:val="0"/>
      <w:marRight w:val="0"/>
      <w:marTop w:val="0"/>
      <w:marBottom w:val="0"/>
      <w:divBdr>
        <w:top w:val="none" w:sz="0" w:space="0" w:color="auto"/>
        <w:left w:val="none" w:sz="0" w:space="0" w:color="auto"/>
        <w:bottom w:val="none" w:sz="0" w:space="0" w:color="auto"/>
        <w:right w:val="none" w:sz="0" w:space="0" w:color="auto"/>
      </w:divBdr>
      <w:divsChild>
        <w:div w:id="1671788338">
          <w:marLeft w:val="0"/>
          <w:marRight w:val="0"/>
          <w:marTop w:val="0"/>
          <w:marBottom w:val="0"/>
          <w:divBdr>
            <w:top w:val="none" w:sz="0" w:space="0" w:color="auto"/>
            <w:left w:val="none" w:sz="0" w:space="0" w:color="auto"/>
            <w:bottom w:val="none" w:sz="0" w:space="0" w:color="auto"/>
            <w:right w:val="none" w:sz="0" w:space="0" w:color="auto"/>
          </w:divBdr>
        </w:div>
        <w:div w:id="1698002305">
          <w:marLeft w:val="0"/>
          <w:marRight w:val="0"/>
          <w:marTop w:val="0"/>
          <w:marBottom w:val="0"/>
          <w:divBdr>
            <w:top w:val="none" w:sz="0" w:space="0" w:color="auto"/>
            <w:left w:val="none" w:sz="0" w:space="0" w:color="auto"/>
            <w:bottom w:val="none" w:sz="0" w:space="0" w:color="auto"/>
            <w:right w:val="none" w:sz="0" w:space="0" w:color="auto"/>
          </w:divBdr>
        </w:div>
        <w:div w:id="2058502439">
          <w:marLeft w:val="0"/>
          <w:marRight w:val="0"/>
          <w:marTop w:val="0"/>
          <w:marBottom w:val="0"/>
          <w:divBdr>
            <w:top w:val="none" w:sz="0" w:space="0" w:color="auto"/>
            <w:left w:val="none" w:sz="0" w:space="0" w:color="auto"/>
            <w:bottom w:val="none" w:sz="0" w:space="0" w:color="auto"/>
            <w:right w:val="none" w:sz="0" w:space="0" w:color="auto"/>
          </w:divBdr>
        </w:div>
        <w:div w:id="478812185">
          <w:marLeft w:val="0"/>
          <w:marRight w:val="0"/>
          <w:marTop w:val="0"/>
          <w:marBottom w:val="0"/>
          <w:divBdr>
            <w:top w:val="none" w:sz="0" w:space="0" w:color="auto"/>
            <w:left w:val="none" w:sz="0" w:space="0" w:color="auto"/>
            <w:bottom w:val="none" w:sz="0" w:space="0" w:color="auto"/>
            <w:right w:val="none" w:sz="0" w:space="0" w:color="auto"/>
          </w:divBdr>
        </w:div>
        <w:div w:id="1970820173">
          <w:marLeft w:val="0"/>
          <w:marRight w:val="0"/>
          <w:marTop w:val="0"/>
          <w:marBottom w:val="0"/>
          <w:divBdr>
            <w:top w:val="none" w:sz="0" w:space="0" w:color="auto"/>
            <w:left w:val="none" w:sz="0" w:space="0" w:color="auto"/>
            <w:bottom w:val="none" w:sz="0" w:space="0" w:color="auto"/>
            <w:right w:val="none" w:sz="0" w:space="0" w:color="auto"/>
          </w:divBdr>
        </w:div>
        <w:div w:id="1386366644">
          <w:marLeft w:val="0"/>
          <w:marRight w:val="0"/>
          <w:marTop w:val="0"/>
          <w:marBottom w:val="0"/>
          <w:divBdr>
            <w:top w:val="none" w:sz="0" w:space="0" w:color="auto"/>
            <w:left w:val="none" w:sz="0" w:space="0" w:color="auto"/>
            <w:bottom w:val="none" w:sz="0" w:space="0" w:color="auto"/>
            <w:right w:val="none" w:sz="0" w:space="0" w:color="auto"/>
          </w:divBdr>
          <w:divsChild>
            <w:div w:id="1839688883">
              <w:marLeft w:val="0"/>
              <w:marRight w:val="0"/>
              <w:marTop w:val="0"/>
              <w:marBottom w:val="0"/>
              <w:divBdr>
                <w:top w:val="none" w:sz="0" w:space="0" w:color="auto"/>
                <w:left w:val="none" w:sz="0" w:space="0" w:color="auto"/>
                <w:bottom w:val="none" w:sz="0" w:space="0" w:color="auto"/>
                <w:right w:val="none" w:sz="0" w:space="0" w:color="auto"/>
              </w:divBdr>
            </w:div>
            <w:div w:id="1025059415">
              <w:marLeft w:val="0"/>
              <w:marRight w:val="0"/>
              <w:marTop w:val="0"/>
              <w:marBottom w:val="0"/>
              <w:divBdr>
                <w:top w:val="none" w:sz="0" w:space="0" w:color="auto"/>
                <w:left w:val="none" w:sz="0" w:space="0" w:color="auto"/>
                <w:bottom w:val="none" w:sz="0" w:space="0" w:color="auto"/>
                <w:right w:val="none" w:sz="0" w:space="0" w:color="auto"/>
              </w:divBdr>
            </w:div>
          </w:divsChild>
        </w:div>
        <w:div w:id="1887568219">
          <w:marLeft w:val="0"/>
          <w:marRight w:val="0"/>
          <w:marTop w:val="0"/>
          <w:marBottom w:val="0"/>
          <w:divBdr>
            <w:top w:val="none" w:sz="0" w:space="0" w:color="auto"/>
            <w:left w:val="none" w:sz="0" w:space="0" w:color="auto"/>
            <w:bottom w:val="none" w:sz="0" w:space="0" w:color="auto"/>
            <w:right w:val="none" w:sz="0" w:space="0" w:color="auto"/>
          </w:divBdr>
          <w:divsChild>
            <w:div w:id="352459507">
              <w:marLeft w:val="0"/>
              <w:marRight w:val="0"/>
              <w:marTop w:val="0"/>
              <w:marBottom w:val="0"/>
              <w:divBdr>
                <w:top w:val="none" w:sz="0" w:space="0" w:color="auto"/>
                <w:left w:val="none" w:sz="0" w:space="0" w:color="auto"/>
                <w:bottom w:val="none" w:sz="0" w:space="0" w:color="auto"/>
                <w:right w:val="none" w:sz="0" w:space="0" w:color="auto"/>
              </w:divBdr>
            </w:div>
            <w:div w:id="1689527963">
              <w:marLeft w:val="0"/>
              <w:marRight w:val="0"/>
              <w:marTop w:val="0"/>
              <w:marBottom w:val="0"/>
              <w:divBdr>
                <w:top w:val="none" w:sz="0" w:space="0" w:color="auto"/>
                <w:left w:val="none" w:sz="0" w:space="0" w:color="auto"/>
                <w:bottom w:val="none" w:sz="0" w:space="0" w:color="auto"/>
                <w:right w:val="none" w:sz="0" w:space="0" w:color="auto"/>
              </w:divBdr>
            </w:div>
            <w:div w:id="262954618">
              <w:marLeft w:val="0"/>
              <w:marRight w:val="0"/>
              <w:marTop w:val="0"/>
              <w:marBottom w:val="0"/>
              <w:divBdr>
                <w:top w:val="none" w:sz="0" w:space="0" w:color="auto"/>
                <w:left w:val="none" w:sz="0" w:space="0" w:color="auto"/>
                <w:bottom w:val="none" w:sz="0" w:space="0" w:color="auto"/>
                <w:right w:val="none" w:sz="0" w:space="0" w:color="auto"/>
              </w:divBdr>
            </w:div>
            <w:div w:id="1189173434">
              <w:marLeft w:val="0"/>
              <w:marRight w:val="0"/>
              <w:marTop w:val="0"/>
              <w:marBottom w:val="0"/>
              <w:divBdr>
                <w:top w:val="none" w:sz="0" w:space="0" w:color="auto"/>
                <w:left w:val="none" w:sz="0" w:space="0" w:color="auto"/>
                <w:bottom w:val="none" w:sz="0" w:space="0" w:color="auto"/>
                <w:right w:val="none" w:sz="0" w:space="0" w:color="auto"/>
              </w:divBdr>
            </w:div>
            <w:div w:id="52435896">
              <w:marLeft w:val="0"/>
              <w:marRight w:val="0"/>
              <w:marTop w:val="0"/>
              <w:marBottom w:val="0"/>
              <w:divBdr>
                <w:top w:val="none" w:sz="0" w:space="0" w:color="auto"/>
                <w:left w:val="none" w:sz="0" w:space="0" w:color="auto"/>
                <w:bottom w:val="none" w:sz="0" w:space="0" w:color="auto"/>
                <w:right w:val="none" w:sz="0" w:space="0" w:color="auto"/>
              </w:divBdr>
            </w:div>
          </w:divsChild>
        </w:div>
        <w:div w:id="669480868">
          <w:marLeft w:val="0"/>
          <w:marRight w:val="0"/>
          <w:marTop w:val="0"/>
          <w:marBottom w:val="0"/>
          <w:divBdr>
            <w:top w:val="none" w:sz="0" w:space="0" w:color="auto"/>
            <w:left w:val="none" w:sz="0" w:space="0" w:color="auto"/>
            <w:bottom w:val="none" w:sz="0" w:space="0" w:color="auto"/>
            <w:right w:val="none" w:sz="0" w:space="0" w:color="auto"/>
          </w:divBdr>
          <w:divsChild>
            <w:div w:id="326709893">
              <w:marLeft w:val="0"/>
              <w:marRight w:val="0"/>
              <w:marTop w:val="0"/>
              <w:marBottom w:val="0"/>
              <w:divBdr>
                <w:top w:val="none" w:sz="0" w:space="0" w:color="auto"/>
                <w:left w:val="none" w:sz="0" w:space="0" w:color="auto"/>
                <w:bottom w:val="none" w:sz="0" w:space="0" w:color="auto"/>
                <w:right w:val="none" w:sz="0" w:space="0" w:color="auto"/>
              </w:divBdr>
            </w:div>
            <w:div w:id="720715215">
              <w:marLeft w:val="0"/>
              <w:marRight w:val="0"/>
              <w:marTop w:val="0"/>
              <w:marBottom w:val="0"/>
              <w:divBdr>
                <w:top w:val="none" w:sz="0" w:space="0" w:color="auto"/>
                <w:left w:val="none" w:sz="0" w:space="0" w:color="auto"/>
                <w:bottom w:val="none" w:sz="0" w:space="0" w:color="auto"/>
                <w:right w:val="none" w:sz="0" w:space="0" w:color="auto"/>
              </w:divBdr>
            </w:div>
            <w:div w:id="1463646016">
              <w:marLeft w:val="0"/>
              <w:marRight w:val="0"/>
              <w:marTop w:val="0"/>
              <w:marBottom w:val="0"/>
              <w:divBdr>
                <w:top w:val="none" w:sz="0" w:space="0" w:color="auto"/>
                <w:left w:val="none" w:sz="0" w:space="0" w:color="auto"/>
                <w:bottom w:val="none" w:sz="0" w:space="0" w:color="auto"/>
                <w:right w:val="none" w:sz="0" w:space="0" w:color="auto"/>
              </w:divBdr>
            </w:div>
            <w:div w:id="907573186">
              <w:marLeft w:val="0"/>
              <w:marRight w:val="0"/>
              <w:marTop w:val="0"/>
              <w:marBottom w:val="0"/>
              <w:divBdr>
                <w:top w:val="none" w:sz="0" w:space="0" w:color="auto"/>
                <w:left w:val="none" w:sz="0" w:space="0" w:color="auto"/>
                <w:bottom w:val="none" w:sz="0" w:space="0" w:color="auto"/>
                <w:right w:val="none" w:sz="0" w:space="0" w:color="auto"/>
              </w:divBdr>
            </w:div>
            <w:div w:id="345207907">
              <w:marLeft w:val="0"/>
              <w:marRight w:val="0"/>
              <w:marTop w:val="0"/>
              <w:marBottom w:val="0"/>
              <w:divBdr>
                <w:top w:val="none" w:sz="0" w:space="0" w:color="auto"/>
                <w:left w:val="none" w:sz="0" w:space="0" w:color="auto"/>
                <w:bottom w:val="none" w:sz="0" w:space="0" w:color="auto"/>
                <w:right w:val="none" w:sz="0" w:space="0" w:color="auto"/>
              </w:divBdr>
            </w:div>
          </w:divsChild>
        </w:div>
        <w:div w:id="276715244">
          <w:marLeft w:val="0"/>
          <w:marRight w:val="0"/>
          <w:marTop w:val="0"/>
          <w:marBottom w:val="0"/>
          <w:divBdr>
            <w:top w:val="none" w:sz="0" w:space="0" w:color="auto"/>
            <w:left w:val="none" w:sz="0" w:space="0" w:color="auto"/>
            <w:bottom w:val="none" w:sz="0" w:space="0" w:color="auto"/>
            <w:right w:val="none" w:sz="0" w:space="0" w:color="auto"/>
          </w:divBdr>
          <w:divsChild>
            <w:div w:id="1188836652">
              <w:marLeft w:val="0"/>
              <w:marRight w:val="0"/>
              <w:marTop w:val="0"/>
              <w:marBottom w:val="0"/>
              <w:divBdr>
                <w:top w:val="none" w:sz="0" w:space="0" w:color="auto"/>
                <w:left w:val="none" w:sz="0" w:space="0" w:color="auto"/>
                <w:bottom w:val="none" w:sz="0" w:space="0" w:color="auto"/>
                <w:right w:val="none" w:sz="0" w:space="0" w:color="auto"/>
              </w:divBdr>
            </w:div>
            <w:div w:id="2019648823">
              <w:marLeft w:val="0"/>
              <w:marRight w:val="0"/>
              <w:marTop w:val="0"/>
              <w:marBottom w:val="0"/>
              <w:divBdr>
                <w:top w:val="none" w:sz="0" w:space="0" w:color="auto"/>
                <w:left w:val="none" w:sz="0" w:space="0" w:color="auto"/>
                <w:bottom w:val="none" w:sz="0" w:space="0" w:color="auto"/>
                <w:right w:val="none" w:sz="0" w:space="0" w:color="auto"/>
              </w:divBdr>
            </w:div>
            <w:div w:id="628246498">
              <w:marLeft w:val="0"/>
              <w:marRight w:val="0"/>
              <w:marTop w:val="0"/>
              <w:marBottom w:val="0"/>
              <w:divBdr>
                <w:top w:val="none" w:sz="0" w:space="0" w:color="auto"/>
                <w:left w:val="none" w:sz="0" w:space="0" w:color="auto"/>
                <w:bottom w:val="none" w:sz="0" w:space="0" w:color="auto"/>
                <w:right w:val="none" w:sz="0" w:space="0" w:color="auto"/>
              </w:divBdr>
            </w:div>
            <w:div w:id="1046375008">
              <w:marLeft w:val="0"/>
              <w:marRight w:val="0"/>
              <w:marTop w:val="0"/>
              <w:marBottom w:val="0"/>
              <w:divBdr>
                <w:top w:val="none" w:sz="0" w:space="0" w:color="auto"/>
                <w:left w:val="none" w:sz="0" w:space="0" w:color="auto"/>
                <w:bottom w:val="none" w:sz="0" w:space="0" w:color="auto"/>
                <w:right w:val="none" w:sz="0" w:space="0" w:color="auto"/>
              </w:divBdr>
            </w:div>
            <w:div w:id="165749339">
              <w:marLeft w:val="0"/>
              <w:marRight w:val="0"/>
              <w:marTop w:val="0"/>
              <w:marBottom w:val="0"/>
              <w:divBdr>
                <w:top w:val="none" w:sz="0" w:space="0" w:color="auto"/>
                <w:left w:val="none" w:sz="0" w:space="0" w:color="auto"/>
                <w:bottom w:val="none" w:sz="0" w:space="0" w:color="auto"/>
                <w:right w:val="none" w:sz="0" w:space="0" w:color="auto"/>
              </w:divBdr>
            </w:div>
          </w:divsChild>
        </w:div>
        <w:div w:id="983118427">
          <w:marLeft w:val="0"/>
          <w:marRight w:val="0"/>
          <w:marTop w:val="0"/>
          <w:marBottom w:val="0"/>
          <w:divBdr>
            <w:top w:val="none" w:sz="0" w:space="0" w:color="auto"/>
            <w:left w:val="none" w:sz="0" w:space="0" w:color="auto"/>
            <w:bottom w:val="none" w:sz="0" w:space="0" w:color="auto"/>
            <w:right w:val="none" w:sz="0" w:space="0" w:color="auto"/>
          </w:divBdr>
        </w:div>
        <w:div w:id="1729958133">
          <w:marLeft w:val="0"/>
          <w:marRight w:val="0"/>
          <w:marTop w:val="0"/>
          <w:marBottom w:val="0"/>
          <w:divBdr>
            <w:top w:val="none" w:sz="0" w:space="0" w:color="auto"/>
            <w:left w:val="none" w:sz="0" w:space="0" w:color="auto"/>
            <w:bottom w:val="none" w:sz="0" w:space="0" w:color="auto"/>
            <w:right w:val="none" w:sz="0" w:space="0" w:color="auto"/>
          </w:divBdr>
        </w:div>
        <w:div w:id="72898204">
          <w:marLeft w:val="0"/>
          <w:marRight w:val="0"/>
          <w:marTop w:val="0"/>
          <w:marBottom w:val="0"/>
          <w:divBdr>
            <w:top w:val="none" w:sz="0" w:space="0" w:color="auto"/>
            <w:left w:val="none" w:sz="0" w:space="0" w:color="auto"/>
            <w:bottom w:val="none" w:sz="0" w:space="0" w:color="auto"/>
            <w:right w:val="none" w:sz="0" w:space="0" w:color="auto"/>
          </w:divBdr>
        </w:div>
        <w:div w:id="950353970">
          <w:marLeft w:val="0"/>
          <w:marRight w:val="0"/>
          <w:marTop w:val="0"/>
          <w:marBottom w:val="0"/>
          <w:divBdr>
            <w:top w:val="none" w:sz="0" w:space="0" w:color="auto"/>
            <w:left w:val="none" w:sz="0" w:space="0" w:color="auto"/>
            <w:bottom w:val="none" w:sz="0" w:space="0" w:color="auto"/>
            <w:right w:val="none" w:sz="0" w:space="0" w:color="auto"/>
          </w:divBdr>
        </w:div>
        <w:div w:id="1737194281">
          <w:marLeft w:val="0"/>
          <w:marRight w:val="0"/>
          <w:marTop w:val="0"/>
          <w:marBottom w:val="0"/>
          <w:divBdr>
            <w:top w:val="none" w:sz="0" w:space="0" w:color="auto"/>
            <w:left w:val="none" w:sz="0" w:space="0" w:color="auto"/>
            <w:bottom w:val="none" w:sz="0" w:space="0" w:color="auto"/>
            <w:right w:val="none" w:sz="0" w:space="0" w:color="auto"/>
          </w:divBdr>
        </w:div>
        <w:div w:id="1779596248">
          <w:marLeft w:val="0"/>
          <w:marRight w:val="0"/>
          <w:marTop w:val="0"/>
          <w:marBottom w:val="0"/>
          <w:divBdr>
            <w:top w:val="none" w:sz="0" w:space="0" w:color="auto"/>
            <w:left w:val="none" w:sz="0" w:space="0" w:color="auto"/>
            <w:bottom w:val="none" w:sz="0" w:space="0" w:color="auto"/>
            <w:right w:val="none" w:sz="0" w:space="0" w:color="auto"/>
          </w:divBdr>
          <w:divsChild>
            <w:div w:id="1986621774">
              <w:marLeft w:val="0"/>
              <w:marRight w:val="0"/>
              <w:marTop w:val="0"/>
              <w:marBottom w:val="0"/>
              <w:divBdr>
                <w:top w:val="none" w:sz="0" w:space="0" w:color="auto"/>
                <w:left w:val="none" w:sz="0" w:space="0" w:color="auto"/>
                <w:bottom w:val="none" w:sz="0" w:space="0" w:color="auto"/>
                <w:right w:val="none" w:sz="0" w:space="0" w:color="auto"/>
              </w:divBdr>
            </w:div>
            <w:div w:id="1664091916">
              <w:marLeft w:val="0"/>
              <w:marRight w:val="0"/>
              <w:marTop w:val="0"/>
              <w:marBottom w:val="0"/>
              <w:divBdr>
                <w:top w:val="none" w:sz="0" w:space="0" w:color="auto"/>
                <w:left w:val="none" w:sz="0" w:space="0" w:color="auto"/>
                <w:bottom w:val="none" w:sz="0" w:space="0" w:color="auto"/>
                <w:right w:val="none" w:sz="0" w:space="0" w:color="auto"/>
              </w:divBdr>
            </w:div>
            <w:div w:id="2067798619">
              <w:marLeft w:val="0"/>
              <w:marRight w:val="0"/>
              <w:marTop w:val="0"/>
              <w:marBottom w:val="0"/>
              <w:divBdr>
                <w:top w:val="none" w:sz="0" w:space="0" w:color="auto"/>
                <w:left w:val="none" w:sz="0" w:space="0" w:color="auto"/>
                <w:bottom w:val="none" w:sz="0" w:space="0" w:color="auto"/>
                <w:right w:val="none" w:sz="0" w:space="0" w:color="auto"/>
              </w:divBdr>
            </w:div>
            <w:div w:id="2038891134">
              <w:marLeft w:val="0"/>
              <w:marRight w:val="0"/>
              <w:marTop w:val="0"/>
              <w:marBottom w:val="0"/>
              <w:divBdr>
                <w:top w:val="none" w:sz="0" w:space="0" w:color="auto"/>
                <w:left w:val="none" w:sz="0" w:space="0" w:color="auto"/>
                <w:bottom w:val="none" w:sz="0" w:space="0" w:color="auto"/>
                <w:right w:val="none" w:sz="0" w:space="0" w:color="auto"/>
              </w:divBdr>
            </w:div>
            <w:div w:id="399911915">
              <w:marLeft w:val="0"/>
              <w:marRight w:val="0"/>
              <w:marTop w:val="0"/>
              <w:marBottom w:val="0"/>
              <w:divBdr>
                <w:top w:val="none" w:sz="0" w:space="0" w:color="auto"/>
                <w:left w:val="none" w:sz="0" w:space="0" w:color="auto"/>
                <w:bottom w:val="none" w:sz="0" w:space="0" w:color="auto"/>
                <w:right w:val="none" w:sz="0" w:space="0" w:color="auto"/>
              </w:divBdr>
            </w:div>
          </w:divsChild>
        </w:div>
        <w:div w:id="789129528">
          <w:marLeft w:val="0"/>
          <w:marRight w:val="0"/>
          <w:marTop w:val="0"/>
          <w:marBottom w:val="0"/>
          <w:divBdr>
            <w:top w:val="none" w:sz="0" w:space="0" w:color="auto"/>
            <w:left w:val="none" w:sz="0" w:space="0" w:color="auto"/>
            <w:bottom w:val="none" w:sz="0" w:space="0" w:color="auto"/>
            <w:right w:val="none" w:sz="0" w:space="0" w:color="auto"/>
          </w:divBdr>
          <w:divsChild>
            <w:div w:id="545675859">
              <w:marLeft w:val="0"/>
              <w:marRight w:val="0"/>
              <w:marTop w:val="0"/>
              <w:marBottom w:val="0"/>
              <w:divBdr>
                <w:top w:val="none" w:sz="0" w:space="0" w:color="auto"/>
                <w:left w:val="none" w:sz="0" w:space="0" w:color="auto"/>
                <w:bottom w:val="none" w:sz="0" w:space="0" w:color="auto"/>
                <w:right w:val="none" w:sz="0" w:space="0" w:color="auto"/>
              </w:divBdr>
            </w:div>
            <w:div w:id="127167813">
              <w:marLeft w:val="0"/>
              <w:marRight w:val="0"/>
              <w:marTop w:val="0"/>
              <w:marBottom w:val="0"/>
              <w:divBdr>
                <w:top w:val="none" w:sz="0" w:space="0" w:color="auto"/>
                <w:left w:val="none" w:sz="0" w:space="0" w:color="auto"/>
                <w:bottom w:val="none" w:sz="0" w:space="0" w:color="auto"/>
                <w:right w:val="none" w:sz="0" w:space="0" w:color="auto"/>
              </w:divBdr>
            </w:div>
            <w:div w:id="898638120">
              <w:marLeft w:val="0"/>
              <w:marRight w:val="0"/>
              <w:marTop w:val="0"/>
              <w:marBottom w:val="0"/>
              <w:divBdr>
                <w:top w:val="none" w:sz="0" w:space="0" w:color="auto"/>
                <w:left w:val="none" w:sz="0" w:space="0" w:color="auto"/>
                <w:bottom w:val="none" w:sz="0" w:space="0" w:color="auto"/>
                <w:right w:val="none" w:sz="0" w:space="0" w:color="auto"/>
              </w:divBdr>
            </w:div>
            <w:div w:id="192305766">
              <w:marLeft w:val="0"/>
              <w:marRight w:val="0"/>
              <w:marTop w:val="0"/>
              <w:marBottom w:val="0"/>
              <w:divBdr>
                <w:top w:val="none" w:sz="0" w:space="0" w:color="auto"/>
                <w:left w:val="none" w:sz="0" w:space="0" w:color="auto"/>
                <w:bottom w:val="none" w:sz="0" w:space="0" w:color="auto"/>
                <w:right w:val="none" w:sz="0" w:space="0" w:color="auto"/>
              </w:divBdr>
            </w:div>
            <w:div w:id="441657131">
              <w:marLeft w:val="0"/>
              <w:marRight w:val="0"/>
              <w:marTop w:val="0"/>
              <w:marBottom w:val="0"/>
              <w:divBdr>
                <w:top w:val="none" w:sz="0" w:space="0" w:color="auto"/>
                <w:left w:val="none" w:sz="0" w:space="0" w:color="auto"/>
                <w:bottom w:val="none" w:sz="0" w:space="0" w:color="auto"/>
                <w:right w:val="none" w:sz="0" w:space="0" w:color="auto"/>
              </w:divBdr>
            </w:div>
          </w:divsChild>
        </w:div>
        <w:div w:id="1729062322">
          <w:marLeft w:val="0"/>
          <w:marRight w:val="0"/>
          <w:marTop w:val="0"/>
          <w:marBottom w:val="0"/>
          <w:divBdr>
            <w:top w:val="none" w:sz="0" w:space="0" w:color="auto"/>
            <w:left w:val="none" w:sz="0" w:space="0" w:color="auto"/>
            <w:bottom w:val="none" w:sz="0" w:space="0" w:color="auto"/>
            <w:right w:val="none" w:sz="0" w:space="0" w:color="auto"/>
          </w:divBdr>
          <w:divsChild>
            <w:div w:id="1773355162">
              <w:marLeft w:val="0"/>
              <w:marRight w:val="0"/>
              <w:marTop w:val="0"/>
              <w:marBottom w:val="0"/>
              <w:divBdr>
                <w:top w:val="none" w:sz="0" w:space="0" w:color="auto"/>
                <w:left w:val="none" w:sz="0" w:space="0" w:color="auto"/>
                <w:bottom w:val="none" w:sz="0" w:space="0" w:color="auto"/>
                <w:right w:val="none" w:sz="0" w:space="0" w:color="auto"/>
              </w:divBdr>
            </w:div>
            <w:div w:id="2047557087">
              <w:marLeft w:val="0"/>
              <w:marRight w:val="0"/>
              <w:marTop w:val="0"/>
              <w:marBottom w:val="0"/>
              <w:divBdr>
                <w:top w:val="none" w:sz="0" w:space="0" w:color="auto"/>
                <w:left w:val="none" w:sz="0" w:space="0" w:color="auto"/>
                <w:bottom w:val="none" w:sz="0" w:space="0" w:color="auto"/>
                <w:right w:val="none" w:sz="0" w:space="0" w:color="auto"/>
              </w:divBdr>
            </w:div>
            <w:div w:id="755058007">
              <w:marLeft w:val="0"/>
              <w:marRight w:val="0"/>
              <w:marTop w:val="0"/>
              <w:marBottom w:val="0"/>
              <w:divBdr>
                <w:top w:val="none" w:sz="0" w:space="0" w:color="auto"/>
                <w:left w:val="none" w:sz="0" w:space="0" w:color="auto"/>
                <w:bottom w:val="none" w:sz="0" w:space="0" w:color="auto"/>
                <w:right w:val="none" w:sz="0" w:space="0" w:color="auto"/>
              </w:divBdr>
            </w:div>
            <w:div w:id="1176306625">
              <w:marLeft w:val="0"/>
              <w:marRight w:val="0"/>
              <w:marTop w:val="0"/>
              <w:marBottom w:val="0"/>
              <w:divBdr>
                <w:top w:val="none" w:sz="0" w:space="0" w:color="auto"/>
                <w:left w:val="none" w:sz="0" w:space="0" w:color="auto"/>
                <w:bottom w:val="none" w:sz="0" w:space="0" w:color="auto"/>
                <w:right w:val="none" w:sz="0" w:space="0" w:color="auto"/>
              </w:divBdr>
            </w:div>
            <w:div w:id="43142242">
              <w:marLeft w:val="0"/>
              <w:marRight w:val="0"/>
              <w:marTop w:val="0"/>
              <w:marBottom w:val="0"/>
              <w:divBdr>
                <w:top w:val="none" w:sz="0" w:space="0" w:color="auto"/>
                <w:left w:val="none" w:sz="0" w:space="0" w:color="auto"/>
                <w:bottom w:val="none" w:sz="0" w:space="0" w:color="auto"/>
                <w:right w:val="none" w:sz="0" w:space="0" w:color="auto"/>
              </w:divBdr>
            </w:div>
          </w:divsChild>
        </w:div>
        <w:div w:id="1205364105">
          <w:marLeft w:val="0"/>
          <w:marRight w:val="0"/>
          <w:marTop w:val="0"/>
          <w:marBottom w:val="0"/>
          <w:divBdr>
            <w:top w:val="none" w:sz="0" w:space="0" w:color="auto"/>
            <w:left w:val="none" w:sz="0" w:space="0" w:color="auto"/>
            <w:bottom w:val="none" w:sz="0" w:space="0" w:color="auto"/>
            <w:right w:val="none" w:sz="0" w:space="0" w:color="auto"/>
          </w:divBdr>
          <w:divsChild>
            <w:div w:id="2034182471">
              <w:marLeft w:val="0"/>
              <w:marRight w:val="0"/>
              <w:marTop w:val="0"/>
              <w:marBottom w:val="0"/>
              <w:divBdr>
                <w:top w:val="none" w:sz="0" w:space="0" w:color="auto"/>
                <w:left w:val="none" w:sz="0" w:space="0" w:color="auto"/>
                <w:bottom w:val="none" w:sz="0" w:space="0" w:color="auto"/>
                <w:right w:val="none" w:sz="0" w:space="0" w:color="auto"/>
              </w:divBdr>
            </w:div>
            <w:div w:id="477764652">
              <w:marLeft w:val="0"/>
              <w:marRight w:val="0"/>
              <w:marTop w:val="0"/>
              <w:marBottom w:val="0"/>
              <w:divBdr>
                <w:top w:val="none" w:sz="0" w:space="0" w:color="auto"/>
                <w:left w:val="none" w:sz="0" w:space="0" w:color="auto"/>
                <w:bottom w:val="none" w:sz="0" w:space="0" w:color="auto"/>
                <w:right w:val="none" w:sz="0" w:space="0" w:color="auto"/>
              </w:divBdr>
            </w:div>
            <w:div w:id="313219723">
              <w:marLeft w:val="0"/>
              <w:marRight w:val="0"/>
              <w:marTop w:val="0"/>
              <w:marBottom w:val="0"/>
              <w:divBdr>
                <w:top w:val="none" w:sz="0" w:space="0" w:color="auto"/>
                <w:left w:val="none" w:sz="0" w:space="0" w:color="auto"/>
                <w:bottom w:val="none" w:sz="0" w:space="0" w:color="auto"/>
                <w:right w:val="none" w:sz="0" w:space="0" w:color="auto"/>
              </w:divBdr>
            </w:div>
            <w:div w:id="97456499">
              <w:marLeft w:val="0"/>
              <w:marRight w:val="0"/>
              <w:marTop w:val="0"/>
              <w:marBottom w:val="0"/>
              <w:divBdr>
                <w:top w:val="none" w:sz="0" w:space="0" w:color="auto"/>
                <w:left w:val="none" w:sz="0" w:space="0" w:color="auto"/>
                <w:bottom w:val="none" w:sz="0" w:space="0" w:color="auto"/>
                <w:right w:val="none" w:sz="0" w:space="0" w:color="auto"/>
              </w:divBdr>
            </w:div>
            <w:div w:id="588077020">
              <w:marLeft w:val="0"/>
              <w:marRight w:val="0"/>
              <w:marTop w:val="0"/>
              <w:marBottom w:val="0"/>
              <w:divBdr>
                <w:top w:val="none" w:sz="0" w:space="0" w:color="auto"/>
                <w:left w:val="none" w:sz="0" w:space="0" w:color="auto"/>
                <w:bottom w:val="none" w:sz="0" w:space="0" w:color="auto"/>
                <w:right w:val="none" w:sz="0" w:space="0" w:color="auto"/>
              </w:divBdr>
            </w:div>
          </w:divsChild>
        </w:div>
        <w:div w:id="1514104044">
          <w:marLeft w:val="0"/>
          <w:marRight w:val="0"/>
          <w:marTop w:val="0"/>
          <w:marBottom w:val="0"/>
          <w:divBdr>
            <w:top w:val="none" w:sz="0" w:space="0" w:color="auto"/>
            <w:left w:val="none" w:sz="0" w:space="0" w:color="auto"/>
            <w:bottom w:val="none" w:sz="0" w:space="0" w:color="auto"/>
            <w:right w:val="none" w:sz="0" w:space="0" w:color="auto"/>
          </w:divBdr>
          <w:divsChild>
            <w:div w:id="2116242629">
              <w:marLeft w:val="0"/>
              <w:marRight w:val="0"/>
              <w:marTop w:val="0"/>
              <w:marBottom w:val="0"/>
              <w:divBdr>
                <w:top w:val="none" w:sz="0" w:space="0" w:color="auto"/>
                <w:left w:val="none" w:sz="0" w:space="0" w:color="auto"/>
                <w:bottom w:val="none" w:sz="0" w:space="0" w:color="auto"/>
                <w:right w:val="none" w:sz="0" w:space="0" w:color="auto"/>
              </w:divBdr>
            </w:div>
            <w:div w:id="1277174045">
              <w:marLeft w:val="0"/>
              <w:marRight w:val="0"/>
              <w:marTop w:val="0"/>
              <w:marBottom w:val="0"/>
              <w:divBdr>
                <w:top w:val="none" w:sz="0" w:space="0" w:color="auto"/>
                <w:left w:val="none" w:sz="0" w:space="0" w:color="auto"/>
                <w:bottom w:val="none" w:sz="0" w:space="0" w:color="auto"/>
                <w:right w:val="none" w:sz="0" w:space="0" w:color="auto"/>
              </w:divBdr>
            </w:div>
            <w:div w:id="1130321383">
              <w:marLeft w:val="0"/>
              <w:marRight w:val="0"/>
              <w:marTop w:val="0"/>
              <w:marBottom w:val="0"/>
              <w:divBdr>
                <w:top w:val="none" w:sz="0" w:space="0" w:color="auto"/>
                <w:left w:val="none" w:sz="0" w:space="0" w:color="auto"/>
                <w:bottom w:val="none" w:sz="0" w:space="0" w:color="auto"/>
                <w:right w:val="none" w:sz="0" w:space="0" w:color="auto"/>
              </w:divBdr>
            </w:div>
            <w:div w:id="789132302">
              <w:marLeft w:val="0"/>
              <w:marRight w:val="0"/>
              <w:marTop w:val="0"/>
              <w:marBottom w:val="0"/>
              <w:divBdr>
                <w:top w:val="none" w:sz="0" w:space="0" w:color="auto"/>
                <w:left w:val="none" w:sz="0" w:space="0" w:color="auto"/>
                <w:bottom w:val="none" w:sz="0" w:space="0" w:color="auto"/>
                <w:right w:val="none" w:sz="0" w:space="0" w:color="auto"/>
              </w:divBdr>
            </w:div>
            <w:div w:id="361514375">
              <w:marLeft w:val="0"/>
              <w:marRight w:val="0"/>
              <w:marTop w:val="0"/>
              <w:marBottom w:val="0"/>
              <w:divBdr>
                <w:top w:val="none" w:sz="0" w:space="0" w:color="auto"/>
                <w:left w:val="none" w:sz="0" w:space="0" w:color="auto"/>
                <w:bottom w:val="none" w:sz="0" w:space="0" w:color="auto"/>
                <w:right w:val="none" w:sz="0" w:space="0" w:color="auto"/>
              </w:divBdr>
            </w:div>
          </w:divsChild>
        </w:div>
        <w:div w:id="1791776912">
          <w:marLeft w:val="0"/>
          <w:marRight w:val="0"/>
          <w:marTop w:val="0"/>
          <w:marBottom w:val="0"/>
          <w:divBdr>
            <w:top w:val="none" w:sz="0" w:space="0" w:color="auto"/>
            <w:left w:val="none" w:sz="0" w:space="0" w:color="auto"/>
            <w:bottom w:val="none" w:sz="0" w:space="0" w:color="auto"/>
            <w:right w:val="none" w:sz="0" w:space="0" w:color="auto"/>
          </w:divBdr>
        </w:div>
        <w:div w:id="533663372">
          <w:marLeft w:val="0"/>
          <w:marRight w:val="0"/>
          <w:marTop w:val="0"/>
          <w:marBottom w:val="0"/>
          <w:divBdr>
            <w:top w:val="none" w:sz="0" w:space="0" w:color="auto"/>
            <w:left w:val="none" w:sz="0" w:space="0" w:color="auto"/>
            <w:bottom w:val="none" w:sz="0" w:space="0" w:color="auto"/>
            <w:right w:val="none" w:sz="0" w:space="0" w:color="auto"/>
          </w:divBdr>
        </w:div>
        <w:div w:id="247538093">
          <w:marLeft w:val="0"/>
          <w:marRight w:val="0"/>
          <w:marTop w:val="0"/>
          <w:marBottom w:val="0"/>
          <w:divBdr>
            <w:top w:val="none" w:sz="0" w:space="0" w:color="auto"/>
            <w:left w:val="none" w:sz="0" w:space="0" w:color="auto"/>
            <w:bottom w:val="none" w:sz="0" w:space="0" w:color="auto"/>
            <w:right w:val="none" w:sz="0" w:space="0" w:color="auto"/>
          </w:divBdr>
        </w:div>
        <w:div w:id="1900676537">
          <w:marLeft w:val="0"/>
          <w:marRight w:val="0"/>
          <w:marTop w:val="0"/>
          <w:marBottom w:val="0"/>
          <w:divBdr>
            <w:top w:val="none" w:sz="0" w:space="0" w:color="auto"/>
            <w:left w:val="none" w:sz="0" w:space="0" w:color="auto"/>
            <w:bottom w:val="none" w:sz="0" w:space="0" w:color="auto"/>
            <w:right w:val="none" w:sz="0" w:space="0" w:color="auto"/>
          </w:divBdr>
        </w:div>
        <w:div w:id="576479307">
          <w:marLeft w:val="0"/>
          <w:marRight w:val="0"/>
          <w:marTop w:val="0"/>
          <w:marBottom w:val="0"/>
          <w:divBdr>
            <w:top w:val="none" w:sz="0" w:space="0" w:color="auto"/>
            <w:left w:val="none" w:sz="0" w:space="0" w:color="auto"/>
            <w:bottom w:val="none" w:sz="0" w:space="0" w:color="auto"/>
            <w:right w:val="none" w:sz="0" w:space="0" w:color="auto"/>
          </w:divBdr>
        </w:div>
        <w:div w:id="1775127348">
          <w:marLeft w:val="0"/>
          <w:marRight w:val="0"/>
          <w:marTop w:val="0"/>
          <w:marBottom w:val="0"/>
          <w:divBdr>
            <w:top w:val="none" w:sz="0" w:space="0" w:color="auto"/>
            <w:left w:val="none" w:sz="0" w:space="0" w:color="auto"/>
            <w:bottom w:val="none" w:sz="0" w:space="0" w:color="auto"/>
            <w:right w:val="none" w:sz="0" w:space="0" w:color="auto"/>
          </w:divBdr>
          <w:divsChild>
            <w:div w:id="63918371">
              <w:marLeft w:val="0"/>
              <w:marRight w:val="0"/>
              <w:marTop w:val="0"/>
              <w:marBottom w:val="0"/>
              <w:divBdr>
                <w:top w:val="none" w:sz="0" w:space="0" w:color="auto"/>
                <w:left w:val="none" w:sz="0" w:space="0" w:color="auto"/>
                <w:bottom w:val="none" w:sz="0" w:space="0" w:color="auto"/>
                <w:right w:val="none" w:sz="0" w:space="0" w:color="auto"/>
              </w:divBdr>
            </w:div>
            <w:div w:id="1801024246">
              <w:marLeft w:val="0"/>
              <w:marRight w:val="0"/>
              <w:marTop w:val="0"/>
              <w:marBottom w:val="0"/>
              <w:divBdr>
                <w:top w:val="none" w:sz="0" w:space="0" w:color="auto"/>
                <w:left w:val="none" w:sz="0" w:space="0" w:color="auto"/>
                <w:bottom w:val="none" w:sz="0" w:space="0" w:color="auto"/>
                <w:right w:val="none" w:sz="0" w:space="0" w:color="auto"/>
              </w:divBdr>
            </w:div>
            <w:div w:id="1602185046">
              <w:marLeft w:val="0"/>
              <w:marRight w:val="0"/>
              <w:marTop w:val="0"/>
              <w:marBottom w:val="0"/>
              <w:divBdr>
                <w:top w:val="none" w:sz="0" w:space="0" w:color="auto"/>
                <w:left w:val="none" w:sz="0" w:space="0" w:color="auto"/>
                <w:bottom w:val="none" w:sz="0" w:space="0" w:color="auto"/>
                <w:right w:val="none" w:sz="0" w:space="0" w:color="auto"/>
              </w:divBdr>
            </w:div>
            <w:div w:id="1524778994">
              <w:marLeft w:val="0"/>
              <w:marRight w:val="0"/>
              <w:marTop w:val="0"/>
              <w:marBottom w:val="0"/>
              <w:divBdr>
                <w:top w:val="none" w:sz="0" w:space="0" w:color="auto"/>
                <w:left w:val="none" w:sz="0" w:space="0" w:color="auto"/>
                <w:bottom w:val="none" w:sz="0" w:space="0" w:color="auto"/>
                <w:right w:val="none" w:sz="0" w:space="0" w:color="auto"/>
              </w:divBdr>
            </w:div>
            <w:div w:id="1052072068">
              <w:marLeft w:val="0"/>
              <w:marRight w:val="0"/>
              <w:marTop w:val="0"/>
              <w:marBottom w:val="0"/>
              <w:divBdr>
                <w:top w:val="none" w:sz="0" w:space="0" w:color="auto"/>
                <w:left w:val="none" w:sz="0" w:space="0" w:color="auto"/>
                <w:bottom w:val="none" w:sz="0" w:space="0" w:color="auto"/>
                <w:right w:val="none" w:sz="0" w:space="0" w:color="auto"/>
              </w:divBdr>
            </w:div>
          </w:divsChild>
        </w:div>
        <w:div w:id="907886232">
          <w:marLeft w:val="0"/>
          <w:marRight w:val="0"/>
          <w:marTop w:val="0"/>
          <w:marBottom w:val="0"/>
          <w:divBdr>
            <w:top w:val="none" w:sz="0" w:space="0" w:color="auto"/>
            <w:left w:val="none" w:sz="0" w:space="0" w:color="auto"/>
            <w:bottom w:val="none" w:sz="0" w:space="0" w:color="auto"/>
            <w:right w:val="none" w:sz="0" w:space="0" w:color="auto"/>
          </w:divBdr>
        </w:div>
        <w:div w:id="2063017141">
          <w:marLeft w:val="0"/>
          <w:marRight w:val="0"/>
          <w:marTop w:val="0"/>
          <w:marBottom w:val="0"/>
          <w:divBdr>
            <w:top w:val="none" w:sz="0" w:space="0" w:color="auto"/>
            <w:left w:val="none" w:sz="0" w:space="0" w:color="auto"/>
            <w:bottom w:val="none" w:sz="0" w:space="0" w:color="auto"/>
            <w:right w:val="none" w:sz="0" w:space="0" w:color="auto"/>
          </w:divBdr>
        </w:div>
        <w:div w:id="1185745891">
          <w:marLeft w:val="0"/>
          <w:marRight w:val="0"/>
          <w:marTop w:val="0"/>
          <w:marBottom w:val="0"/>
          <w:divBdr>
            <w:top w:val="none" w:sz="0" w:space="0" w:color="auto"/>
            <w:left w:val="none" w:sz="0" w:space="0" w:color="auto"/>
            <w:bottom w:val="none" w:sz="0" w:space="0" w:color="auto"/>
            <w:right w:val="none" w:sz="0" w:space="0" w:color="auto"/>
          </w:divBdr>
        </w:div>
        <w:div w:id="2125153779">
          <w:marLeft w:val="0"/>
          <w:marRight w:val="0"/>
          <w:marTop w:val="0"/>
          <w:marBottom w:val="0"/>
          <w:divBdr>
            <w:top w:val="none" w:sz="0" w:space="0" w:color="auto"/>
            <w:left w:val="none" w:sz="0" w:space="0" w:color="auto"/>
            <w:bottom w:val="none" w:sz="0" w:space="0" w:color="auto"/>
            <w:right w:val="none" w:sz="0" w:space="0" w:color="auto"/>
          </w:divBdr>
        </w:div>
        <w:div w:id="412094258">
          <w:marLeft w:val="0"/>
          <w:marRight w:val="0"/>
          <w:marTop w:val="0"/>
          <w:marBottom w:val="0"/>
          <w:divBdr>
            <w:top w:val="none" w:sz="0" w:space="0" w:color="auto"/>
            <w:left w:val="none" w:sz="0" w:space="0" w:color="auto"/>
            <w:bottom w:val="none" w:sz="0" w:space="0" w:color="auto"/>
            <w:right w:val="none" w:sz="0" w:space="0" w:color="auto"/>
          </w:divBdr>
        </w:div>
        <w:div w:id="2063744662">
          <w:marLeft w:val="0"/>
          <w:marRight w:val="0"/>
          <w:marTop w:val="0"/>
          <w:marBottom w:val="0"/>
          <w:divBdr>
            <w:top w:val="none" w:sz="0" w:space="0" w:color="auto"/>
            <w:left w:val="none" w:sz="0" w:space="0" w:color="auto"/>
            <w:bottom w:val="none" w:sz="0" w:space="0" w:color="auto"/>
            <w:right w:val="none" w:sz="0" w:space="0" w:color="auto"/>
          </w:divBdr>
        </w:div>
        <w:div w:id="192613447">
          <w:marLeft w:val="0"/>
          <w:marRight w:val="0"/>
          <w:marTop w:val="0"/>
          <w:marBottom w:val="0"/>
          <w:divBdr>
            <w:top w:val="none" w:sz="0" w:space="0" w:color="auto"/>
            <w:left w:val="none" w:sz="0" w:space="0" w:color="auto"/>
            <w:bottom w:val="none" w:sz="0" w:space="0" w:color="auto"/>
            <w:right w:val="none" w:sz="0" w:space="0" w:color="auto"/>
          </w:divBdr>
        </w:div>
        <w:div w:id="2112701448">
          <w:marLeft w:val="0"/>
          <w:marRight w:val="0"/>
          <w:marTop w:val="0"/>
          <w:marBottom w:val="0"/>
          <w:divBdr>
            <w:top w:val="none" w:sz="0" w:space="0" w:color="auto"/>
            <w:left w:val="none" w:sz="0" w:space="0" w:color="auto"/>
            <w:bottom w:val="none" w:sz="0" w:space="0" w:color="auto"/>
            <w:right w:val="none" w:sz="0" w:space="0" w:color="auto"/>
          </w:divBdr>
        </w:div>
        <w:div w:id="1994946042">
          <w:marLeft w:val="0"/>
          <w:marRight w:val="0"/>
          <w:marTop w:val="0"/>
          <w:marBottom w:val="0"/>
          <w:divBdr>
            <w:top w:val="none" w:sz="0" w:space="0" w:color="auto"/>
            <w:left w:val="none" w:sz="0" w:space="0" w:color="auto"/>
            <w:bottom w:val="none" w:sz="0" w:space="0" w:color="auto"/>
            <w:right w:val="none" w:sz="0" w:space="0" w:color="auto"/>
          </w:divBdr>
        </w:div>
        <w:div w:id="899055004">
          <w:marLeft w:val="0"/>
          <w:marRight w:val="0"/>
          <w:marTop w:val="0"/>
          <w:marBottom w:val="0"/>
          <w:divBdr>
            <w:top w:val="none" w:sz="0" w:space="0" w:color="auto"/>
            <w:left w:val="none" w:sz="0" w:space="0" w:color="auto"/>
            <w:bottom w:val="none" w:sz="0" w:space="0" w:color="auto"/>
            <w:right w:val="none" w:sz="0" w:space="0" w:color="auto"/>
          </w:divBdr>
        </w:div>
        <w:div w:id="1969816978">
          <w:marLeft w:val="0"/>
          <w:marRight w:val="0"/>
          <w:marTop w:val="0"/>
          <w:marBottom w:val="0"/>
          <w:divBdr>
            <w:top w:val="none" w:sz="0" w:space="0" w:color="auto"/>
            <w:left w:val="none" w:sz="0" w:space="0" w:color="auto"/>
            <w:bottom w:val="none" w:sz="0" w:space="0" w:color="auto"/>
            <w:right w:val="none" w:sz="0" w:space="0" w:color="auto"/>
          </w:divBdr>
        </w:div>
        <w:div w:id="1129207750">
          <w:marLeft w:val="0"/>
          <w:marRight w:val="0"/>
          <w:marTop w:val="0"/>
          <w:marBottom w:val="0"/>
          <w:divBdr>
            <w:top w:val="none" w:sz="0" w:space="0" w:color="auto"/>
            <w:left w:val="none" w:sz="0" w:space="0" w:color="auto"/>
            <w:bottom w:val="none" w:sz="0" w:space="0" w:color="auto"/>
            <w:right w:val="none" w:sz="0" w:space="0" w:color="auto"/>
          </w:divBdr>
        </w:div>
        <w:div w:id="1533883293">
          <w:marLeft w:val="0"/>
          <w:marRight w:val="0"/>
          <w:marTop w:val="0"/>
          <w:marBottom w:val="0"/>
          <w:divBdr>
            <w:top w:val="none" w:sz="0" w:space="0" w:color="auto"/>
            <w:left w:val="none" w:sz="0" w:space="0" w:color="auto"/>
            <w:bottom w:val="none" w:sz="0" w:space="0" w:color="auto"/>
            <w:right w:val="none" w:sz="0" w:space="0" w:color="auto"/>
          </w:divBdr>
        </w:div>
        <w:div w:id="847016705">
          <w:marLeft w:val="0"/>
          <w:marRight w:val="0"/>
          <w:marTop w:val="0"/>
          <w:marBottom w:val="0"/>
          <w:divBdr>
            <w:top w:val="none" w:sz="0" w:space="0" w:color="auto"/>
            <w:left w:val="none" w:sz="0" w:space="0" w:color="auto"/>
            <w:bottom w:val="none" w:sz="0" w:space="0" w:color="auto"/>
            <w:right w:val="none" w:sz="0" w:space="0" w:color="auto"/>
          </w:divBdr>
        </w:div>
        <w:div w:id="300499117">
          <w:marLeft w:val="0"/>
          <w:marRight w:val="0"/>
          <w:marTop w:val="0"/>
          <w:marBottom w:val="0"/>
          <w:divBdr>
            <w:top w:val="none" w:sz="0" w:space="0" w:color="auto"/>
            <w:left w:val="none" w:sz="0" w:space="0" w:color="auto"/>
            <w:bottom w:val="none" w:sz="0" w:space="0" w:color="auto"/>
            <w:right w:val="none" w:sz="0" w:space="0" w:color="auto"/>
          </w:divBdr>
        </w:div>
        <w:div w:id="16544344">
          <w:marLeft w:val="0"/>
          <w:marRight w:val="0"/>
          <w:marTop w:val="0"/>
          <w:marBottom w:val="0"/>
          <w:divBdr>
            <w:top w:val="none" w:sz="0" w:space="0" w:color="auto"/>
            <w:left w:val="none" w:sz="0" w:space="0" w:color="auto"/>
            <w:bottom w:val="none" w:sz="0" w:space="0" w:color="auto"/>
            <w:right w:val="none" w:sz="0" w:space="0" w:color="auto"/>
          </w:divBdr>
          <w:divsChild>
            <w:div w:id="1424690599">
              <w:marLeft w:val="0"/>
              <w:marRight w:val="0"/>
              <w:marTop w:val="0"/>
              <w:marBottom w:val="0"/>
              <w:divBdr>
                <w:top w:val="none" w:sz="0" w:space="0" w:color="auto"/>
                <w:left w:val="none" w:sz="0" w:space="0" w:color="auto"/>
                <w:bottom w:val="none" w:sz="0" w:space="0" w:color="auto"/>
                <w:right w:val="none" w:sz="0" w:space="0" w:color="auto"/>
              </w:divBdr>
            </w:div>
            <w:div w:id="1367943639">
              <w:marLeft w:val="0"/>
              <w:marRight w:val="0"/>
              <w:marTop w:val="0"/>
              <w:marBottom w:val="0"/>
              <w:divBdr>
                <w:top w:val="none" w:sz="0" w:space="0" w:color="auto"/>
                <w:left w:val="none" w:sz="0" w:space="0" w:color="auto"/>
                <w:bottom w:val="none" w:sz="0" w:space="0" w:color="auto"/>
                <w:right w:val="none" w:sz="0" w:space="0" w:color="auto"/>
              </w:divBdr>
            </w:div>
            <w:div w:id="1303345424">
              <w:marLeft w:val="0"/>
              <w:marRight w:val="0"/>
              <w:marTop w:val="0"/>
              <w:marBottom w:val="0"/>
              <w:divBdr>
                <w:top w:val="none" w:sz="0" w:space="0" w:color="auto"/>
                <w:left w:val="none" w:sz="0" w:space="0" w:color="auto"/>
                <w:bottom w:val="none" w:sz="0" w:space="0" w:color="auto"/>
                <w:right w:val="none" w:sz="0" w:space="0" w:color="auto"/>
              </w:divBdr>
            </w:div>
            <w:div w:id="2074768819">
              <w:marLeft w:val="0"/>
              <w:marRight w:val="0"/>
              <w:marTop w:val="0"/>
              <w:marBottom w:val="0"/>
              <w:divBdr>
                <w:top w:val="none" w:sz="0" w:space="0" w:color="auto"/>
                <w:left w:val="none" w:sz="0" w:space="0" w:color="auto"/>
                <w:bottom w:val="none" w:sz="0" w:space="0" w:color="auto"/>
                <w:right w:val="none" w:sz="0" w:space="0" w:color="auto"/>
              </w:divBdr>
            </w:div>
            <w:div w:id="934020947">
              <w:marLeft w:val="0"/>
              <w:marRight w:val="0"/>
              <w:marTop w:val="0"/>
              <w:marBottom w:val="0"/>
              <w:divBdr>
                <w:top w:val="none" w:sz="0" w:space="0" w:color="auto"/>
                <w:left w:val="none" w:sz="0" w:space="0" w:color="auto"/>
                <w:bottom w:val="none" w:sz="0" w:space="0" w:color="auto"/>
                <w:right w:val="none" w:sz="0" w:space="0" w:color="auto"/>
              </w:divBdr>
            </w:div>
          </w:divsChild>
        </w:div>
        <w:div w:id="1182937381">
          <w:marLeft w:val="0"/>
          <w:marRight w:val="0"/>
          <w:marTop w:val="0"/>
          <w:marBottom w:val="0"/>
          <w:divBdr>
            <w:top w:val="none" w:sz="0" w:space="0" w:color="auto"/>
            <w:left w:val="none" w:sz="0" w:space="0" w:color="auto"/>
            <w:bottom w:val="none" w:sz="0" w:space="0" w:color="auto"/>
            <w:right w:val="none" w:sz="0" w:space="0" w:color="auto"/>
          </w:divBdr>
        </w:div>
        <w:div w:id="2087722223">
          <w:marLeft w:val="0"/>
          <w:marRight w:val="0"/>
          <w:marTop w:val="0"/>
          <w:marBottom w:val="0"/>
          <w:divBdr>
            <w:top w:val="none" w:sz="0" w:space="0" w:color="auto"/>
            <w:left w:val="none" w:sz="0" w:space="0" w:color="auto"/>
            <w:bottom w:val="none" w:sz="0" w:space="0" w:color="auto"/>
            <w:right w:val="none" w:sz="0" w:space="0" w:color="auto"/>
          </w:divBdr>
        </w:div>
        <w:div w:id="30689812">
          <w:marLeft w:val="0"/>
          <w:marRight w:val="0"/>
          <w:marTop w:val="0"/>
          <w:marBottom w:val="0"/>
          <w:divBdr>
            <w:top w:val="none" w:sz="0" w:space="0" w:color="auto"/>
            <w:left w:val="none" w:sz="0" w:space="0" w:color="auto"/>
            <w:bottom w:val="none" w:sz="0" w:space="0" w:color="auto"/>
            <w:right w:val="none" w:sz="0" w:space="0" w:color="auto"/>
          </w:divBdr>
        </w:div>
        <w:div w:id="288903942">
          <w:marLeft w:val="0"/>
          <w:marRight w:val="0"/>
          <w:marTop w:val="0"/>
          <w:marBottom w:val="0"/>
          <w:divBdr>
            <w:top w:val="none" w:sz="0" w:space="0" w:color="auto"/>
            <w:left w:val="none" w:sz="0" w:space="0" w:color="auto"/>
            <w:bottom w:val="none" w:sz="0" w:space="0" w:color="auto"/>
            <w:right w:val="none" w:sz="0" w:space="0" w:color="auto"/>
          </w:divBdr>
        </w:div>
        <w:div w:id="619528770">
          <w:marLeft w:val="0"/>
          <w:marRight w:val="0"/>
          <w:marTop w:val="0"/>
          <w:marBottom w:val="0"/>
          <w:divBdr>
            <w:top w:val="none" w:sz="0" w:space="0" w:color="auto"/>
            <w:left w:val="none" w:sz="0" w:space="0" w:color="auto"/>
            <w:bottom w:val="none" w:sz="0" w:space="0" w:color="auto"/>
            <w:right w:val="none" w:sz="0" w:space="0" w:color="auto"/>
          </w:divBdr>
        </w:div>
        <w:div w:id="245505887">
          <w:marLeft w:val="0"/>
          <w:marRight w:val="0"/>
          <w:marTop w:val="0"/>
          <w:marBottom w:val="0"/>
          <w:divBdr>
            <w:top w:val="none" w:sz="0" w:space="0" w:color="auto"/>
            <w:left w:val="none" w:sz="0" w:space="0" w:color="auto"/>
            <w:bottom w:val="none" w:sz="0" w:space="0" w:color="auto"/>
            <w:right w:val="none" w:sz="0" w:space="0" w:color="auto"/>
          </w:divBdr>
          <w:divsChild>
            <w:div w:id="1869641168">
              <w:marLeft w:val="0"/>
              <w:marRight w:val="0"/>
              <w:marTop w:val="0"/>
              <w:marBottom w:val="0"/>
              <w:divBdr>
                <w:top w:val="none" w:sz="0" w:space="0" w:color="auto"/>
                <w:left w:val="none" w:sz="0" w:space="0" w:color="auto"/>
                <w:bottom w:val="none" w:sz="0" w:space="0" w:color="auto"/>
                <w:right w:val="none" w:sz="0" w:space="0" w:color="auto"/>
              </w:divBdr>
            </w:div>
            <w:div w:id="1502938059">
              <w:marLeft w:val="0"/>
              <w:marRight w:val="0"/>
              <w:marTop w:val="0"/>
              <w:marBottom w:val="0"/>
              <w:divBdr>
                <w:top w:val="none" w:sz="0" w:space="0" w:color="auto"/>
                <w:left w:val="none" w:sz="0" w:space="0" w:color="auto"/>
                <w:bottom w:val="none" w:sz="0" w:space="0" w:color="auto"/>
                <w:right w:val="none" w:sz="0" w:space="0" w:color="auto"/>
              </w:divBdr>
            </w:div>
            <w:div w:id="2114937338">
              <w:marLeft w:val="0"/>
              <w:marRight w:val="0"/>
              <w:marTop w:val="0"/>
              <w:marBottom w:val="0"/>
              <w:divBdr>
                <w:top w:val="none" w:sz="0" w:space="0" w:color="auto"/>
                <w:left w:val="none" w:sz="0" w:space="0" w:color="auto"/>
                <w:bottom w:val="none" w:sz="0" w:space="0" w:color="auto"/>
                <w:right w:val="none" w:sz="0" w:space="0" w:color="auto"/>
              </w:divBdr>
            </w:div>
            <w:div w:id="1647540881">
              <w:marLeft w:val="0"/>
              <w:marRight w:val="0"/>
              <w:marTop w:val="0"/>
              <w:marBottom w:val="0"/>
              <w:divBdr>
                <w:top w:val="none" w:sz="0" w:space="0" w:color="auto"/>
                <w:left w:val="none" w:sz="0" w:space="0" w:color="auto"/>
                <w:bottom w:val="none" w:sz="0" w:space="0" w:color="auto"/>
                <w:right w:val="none" w:sz="0" w:space="0" w:color="auto"/>
              </w:divBdr>
            </w:div>
            <w:div w:id="133722464">
              <w:marLeft w:val="0"/>
              <w:marRight w:val="0"/>
              <w:marTop w:val="0"/>
              <w:marBottom w:val="0"/>
              <w:divBdr>
                <w:top w:val="none" w:sz="0" w:space="0" w:color="auto"/>
                <w:left w:val="none" w:sz="0" w:space="0" w:color="auto"/>
                <w:bottom w:val="none" w:sz="0" w:space="0" w:color="auto"/>
                <w:right w:val="none" w:sz="0" w:space="0" w:color="auto"/>
              </w:divBdr>
            </w:div>
          </w:divsChild>
        </w:div>
        <w:div w:id="1780027005">
          <w:marLeft w:val="0"/>
          <w:marRight w:val="0"/>
          <w:marTop w:val="0"/>
          <w:marBottom w:val="0"/>
          <w:divBdr>
            <w:top w:val="none" w:sz="0" w:space="0" w:color="auto"/>
            <w:left w:val="none" w:sz="0" w:space="0" w:color="auto"/>
            <w:bottom w:val="none" w:sz="0" w:space="0" w:color="auto"/>
            <w:right w:val="none" w:sz="0" w:space="0" w:color="auto"/>
          </w:divBdr>
          <w:divsChild>
            <w:div w:id="1726677368">
              <w:marLeft w:val="0"/>
              <w:marRight w:val="0"/>
              <w:marTop w:val="0"/>
              <w:marBottom w:val="0"/>
              <w:divBdr>
                <w:top w:val="none" w:sz="0" w:space="0" w:color="auto"/>
                <w:left w:val="none" w:sz="0" w:space="0" w:color="auto"/>
                <w:bottom w:val="none" w:sz="0" w:space="0" w:color="auto"/>
                <w:right w:val="none" w:sz="0" w:space="0" w:color="auto"/>
              </w:divBdr>
            </w:div>
            <w:div w:id="1755853829">
              <w:marLeft w:val="0"/>
              <w:marRight w:val="0"/>
              <w:marTop w:val="0"/>
              <w:marBottom w:val="0"/>
              <w:divBdr>
                <w:top w:val="none" w:sz="0" w:space="0" w:color="auto"/>
                <w:left w:val="none" w:sz="0" w:space="0" w:color="auto"/>
                <w:bottom w:val="none" w:sz="0" w:space="0" w:color="auto"/>
                <w:right w:val="none" w:sz="0" w:space="0" w:color="auto"/>
              </w:divBdr>
            </w:div>
            <w:div w:id="794638495">
              <w:marLeft w:val="0"/>
              <w:marRight w:val="0"/>
              <w:marTop w:val="0"/>
              <w:marBottom w:val="0"/>
              <w:divBdr>
                <w:top w:val="none" w:sz="0" w:space="0" w:color="auto"/>
                <w:left w:val="none" w:sz="0" w:space="0" w:color="auto"/>
                <w:bottom w:val="none" w:sz="0" w:space="0" w:color="auto"/>
                <w:right w:val="none" w:sz="0" w:space="0" w:color="auto"/>
              </w:divBdr>
            </w:div>
            <w:div w:id="1112825097">
              <w:marLeft w:val="0"/>
              <w:marRight w:val="0"/>
              <w:marTop w:val="0"/>
              <w:marBottom w:val="0"/>
              <w:divBdr>
                <w:top w:val="none" w:sz="0" w:space="0" w:color="auto"/>
                <w:left w:val="none" w:sz="0" w:space="0" w:color="auto"/>
                <w:bottom w:val="none" w:sz="0" w:space="0" w:color="auto"/>
                <w:right w:val="none" w:sz="0" w:space="0" w:color="auto"/>
              </w:divBdr>
            </w:div>
            <w:div w:id="1889301371">
              <w:marLeft w:val="0"/>
              <w:marRight w:val="0"/>
              <w:marTop w:val="0"/>
              <w:marBottom w:val="0"/>
              <w:divBdr>
                <w:top w:val="none" w:sz="0" w:space="0" w:color="auto"/>
                <w:left w:val="none" w:sz="0" w:space="0" w:color="auto"/>
                <w:bottom w:val="none" w:sz="0" w:space="0" w:color="auto"/>
                <w:right w:val="none" w:sz="0" w:space="0" w:color="auto"/>
              </w:divBdr>
            </w:div>
          </w:divsChild>
        </w:div>
        <w:div w:id="1857115415">
          <w:marLeft w:val="0"/>
          <w:marRight w:val="0"/>
          <w:marTop w:val="0"/>
          <w:marBottom w:val="0"/>
          <w:divBdr>
            <w:top w:val="none" w:sz="0" w:space="0" w:color="auto"/>
            <w:left w:val="none" w:sz="0" w:space="0" w:color="auto"/>
            <w:bottom w:val="none" w:sz="0" w:space="0" w:color="auto"/>
            <w:right w:val="none" w:sz="0" w:space="0" w:color="auto"/>
          </w:divBdr>
          <w:divsChild>
            <w:div w:id="1793934019">
              <w:marLeft w:val="0"/>
              <w:marRight w:val="0"/>
              <w:marTop w:val="0"/>
              <w:marBottom w:val="0"/>
              <w:divBdr>
                <w:top w:val="none" w:sz="0" w:space="0" w:color="auto"/>
                <w:left w:val="none" w:sz="0" w:space="0" w:color="auto"/>
                <w:bottom w:val="none" w:sz="0" w:space="0" w:color="auto"/>
                <w:right w:val="none" w:sz="0" w:space="0" w:color="auto"/>
              </w:divBdr>
            </w:div>
            <w:div w:id="22631784">
              <w:marLeft w:val="0"/>
              <w:marRight w:val="0"/>
              <w:marTop w:val="0"/>
              <w:marBottom w:val="0"/>
              <w:divBdr>
                <w:top w:val="none" w:sz="0" w:space="0" w:color="auto"/>
                <w:left w:val="none" w:sz="0" w:space="0" w:color="auto"/>
                <w:bottom w:val="none" w:sz="0" w:space="0" w:color="auto"/>
                <w:right w:val="none" w:sz="0" w:space="0" w:color="auto"/>
              </w:divBdr>
            </w:div>
            <w:div w:id="469832063">
              <w:marLeft w:val="0"/>
              <w:marRight w:val="0"/>
              <w:marTop w:val="0"/>
              <w:marBottom w:val="0"/>
              <w:divBdr>
                <w:top w:val="none" w:sz="0" w:space="0" w:color="auto"/>
                <w:left w:val="none" w:sz="0" w:space="0" w:color="auto"/>
                <w:bottom w:val="none" w:sz="0" w:space="0" w:color="auto"/>
                <w:right w:val="none" w:sz="0" w:space="0" w:color="auto"/>
              </w:divBdr>
            </w:div>
            <w:div w:id="1211764496">
              <w:marLeft w:val="0"/>
              <w:marRight w:val="0"/>
              <w:marTop w:val="0"/>
              <w:marBottom w:val="0"/>
              <w:divBdr>
                <w:top w:val="none" w:sz="0" w:space="0" w:color="auto"/>
                <w:left w:val="none" w:sz="0" w:space="0" w:color="auto"/>
                <w:bottom w:val="none" w:sz="0" w:space="0" w:color="auto"/>
                <w:right w:val="none" w:sz="0" w:space="0" w:color="auto"/>
              </w:divBdr>
            </w:div>
            <w:div w:id="1528251446">
              <w:marLeft w:val="0"/>
              <w:marRight w:val="0"/>
              <w:marTop w:val="0"/>
              <w:marBottom w:val="0"/>
              <w:divBdr>
                <w:top w:val="none" w:sz="0" w:space="0" w:color="auto"/>
                <w:left w:val="none" w:sz="0" w:space="0" w:color="auto"/>
                <w:bottom w:val="none" w:sz="0" w:space="0" w:color="auto"/>
                <w:right w:val="none" w:sz="0" w:space="0" w:color="auto"/>
              </w:divBdr>
            </w:div>
          </w:divsChild>
        </w:div>
        <w:div w:id="1917130033">
          <w:marLeft w:val="0"/>
          <w:marRight w:val="0"/>
          <w:marTop w:val="0"/>
          <w:marBottom w:val="0"/>
          <w:divBdr>
            <w:top w:val="none" w:sz="0" w:space="0" w:color="auto"/>
            <w:left w:val="none" w:sz="0" w:space="0" w:color="auto"/>
            <w:bottom w:val="none" w:sz="0" w:space="0" w:color="auto"/>
            <w:right w:val="none" w:sz="0" w:space="0" w:color="auto"/>
          </w:divBdr>
          <w:divsChild>
            <w:div w:id="36780782">
              <w:marLeft w:val="0"/>
              <w:marRight w:val="0"/>
              <w:marTop w:val="0"/>
              <w:marBottom w:val="0"/>
              <w:divBdr>
                <w:top w:val="none" w:sz="0" w:space="0" w:color="auto"/>
                <w:left w:val="none" w:sz="0" w:space="0" w:color="auto"/>
                <w:bottom w:val="none" w:sz="0" w:space="0" w:color="auto"/>
                <w:right w:val="none" w:sz="0" w:space="0" w:color="auto"/>
              </w:divBdr>
            </w:div>
            <w:div w:id="1669677562">
              <w:marLeft w:val="0"/>
              <w:marRight w:val="0"/>
              <w:marTop w:val="0"/>
              <w:marBottom w:val="0"/>
              <w:divBdr>
                <w:top w:val="none" w:sz="0" w:space="0" w:color="auto"/>
                <w:left w:val="none" w:sz="0" w:space="0" w:color="auto"/>
                <w:bottom w:val="none" w:sz="0" w:space="0" w:color="auto"/>
                <w:right w:val="none" w:sz="0" w:space="0" w:color="auto"/>
              </w:divBdr>
            </w:div>
            <w:div w:id="1110081141">
              <w:marLeft w:val="0"/>
              <w:marRight w:val="0"/>
              <w:marTop w:val="0"/>
              <w:marBottom w:val="0"/>
              <w:divBdr>
                <w:top w:val="none" w:sz="0" w:space="0" w:color="auto"/>
                <w:left w:val="none" w:sz="0" w:space="0" w:color="auto"/>
                <w:bottom w:val="none" w:sz="0" w:space="0" w:color="auto"/>
                <w:right w:val="none" w:sz="0" w:space="0" w:color="auto"/>
              </w:divBdr>
            </w:div>
            <w:div w:id="2147164438">
              <w:marLeft w:val="0"/>
              <w:marRight w:val="0"/>
              <w:marTop w:val="0"/>
              <w:marBottom w:val="0"/>
              <w:divBdr>
                <w:top w:val="none" w:sz="0" w:space="0" w:color="auto"/>
                <w:left w:val="none" w:sz="0" w:space="0" w:color="auto"/>
                <w:bottom w:val="none" w:sz="0" w:space="0" w:color="auto"/>
                <w:right w:val="none" w:sz="0" w:space="0" w:color="auto"/>
              </w:divBdr>
            </w:div>
            <w:div w:id="1475176101">
              <w:marLeft w:val="0"/>
              <w:marRight w:val="0"/>
              <w:marTop w:val="0"/>
              <w:marBottom w:val="0"/>
              <w:divBdr>
                <w:top w:val="none" w:sz="0" w:space="0" w:color="auto"/>
                <w:left w:val="none" w:sz="0" w:space="0" w:color="auto"/>
                <w:bottom w:val="none" w:sz="0" w:space="0" w:color="auto"/>
                <w:right w:val="none" w:sz="0" w:space="0" w:color="auto"/>
              </w:divBdr>
            </w:div>
          </w:divsChild>
        </w:div>
        <w:div w:id="1951087419">
          <w:marLeft w:val="0"/>
          <w:marRight w:val="0"/>
          <w:marTop w:val="0"/>
          <w:marBottom w:val="0"/>
          <w:divBdr>
            <w:top w:val="none" w:sz="0" w:space="0" w:color="auto"/>
            <w:left w:val="none" w:sz="0" w:space="0" w:color="auto"/>
            <w:bottom w:val="none" w:sz="0" w:space="0" w:color="auto"/>
            <w:right w:val="none" w:sz="0" w:space="0" w:color="auto"/>
          </w:divBdr>
        </w:div>
        <w:div w:id="1698239126">
          <w:marLeft w:val="0"/>
          <w:marRight w:val="0"/>
          <w:marTop w:val="0"/>
          <w:marBottom w:val="0"/>
          <w:divBdr>
            <w:top w:val="none" w:sz="0" w:space="0" w:color="auto"/>
            <w:left w:val="none" w:sz="0" w:space="0" w:color="auto"/>
            <w:bottom w:val="none" w:sz="0" w:space="0" w:color="auto"/>
            <w:right w:val="none" w:sz="0" w:space="0" w:color="auto"/>
          </w:divBdr>
        </w:div>
        <w:div w:id="299850177">
          <w:marLeft w:val="0"/>
          <w:marRight w:val="0"/>
          <w:marTop w:val="0"/>
          <w:marBottom w:val="0"/>
          <w:divBdr>
            <w:top w:val="none" w:sz="0" w:space="0" w:color="auto"/>
            <w:left w:val="none" w:sz="0" w:space="0" w:color="auto"/>
            <w:bottom w:val="none" w:sz="0" w:space="0" w:color="auto"/>
            <w:right w:val="none" w:sz="0" w:space="0" w:color="auto"/>
          </w:divBdr>
        </w:div>
        <w:div w:id="1614244797">
          <w:marLeft w:val="0"/>
          <w:marRight w:val="0"/>
          <w:marTop w:val="0"/>
          <w:marBottom w:val="0"/>
          <w:divBdr>
            <w:top w:val="none" w:sz="0" w:space="0" w:color="auto"/>
            <w:left w:val="none" w:sz="0" w:space="0" w:color="auto"/>
            <w:bottom w:val="none" w:sz="0" w:space="0" w:color="auto"/>
            <w:right w:val="none" w:sz="0" w:space="0" w:color="auto"/>
          </w:divBdr>
        </w:div>
        <w:div w:id="1592201177">
          <w:marLeft w:val="0"/>
          <w:marRight w:val="0"/>
          <w:marTop w:val="0"/>
          <w:marBottom w:val="0"/>
          <w:divBdr>
            <w:top w:val="none" w:sz="0" w:space="0" w:color="auto"/>
            <w:left w:val="none" w:sz="0" w:space="0" w:color="auto"/>
            <w:bottom w:val="none" w:sz="0" w:space="0" w:color="auto"/>
            <w:right w:val="none" w:sz="0" w:space="0" w:color="auto"/>
          </w:divBdr>
        </w:div>
        <w:div w:id="1951862761">
          <w:marLeft w:val="0"/>
          <w:marRight w:val="0"/>
          <w:marTop w:val="0"/>
          <w:marBottom w:val="0"/>
          <w:divBdr>
            <w:top w:val="none" w:sz="0" w:space="0" w:color="auto"/>
            <w:left w:val="none" w:sz="0" w:space="0" w:color="auto"/>
            <w:bottom w:val="none" w:sz="0" w:space="0" w:color="auto"/>
            <w:right w:val="none" w:sz="0" w:space="0" w:color="auto"/>
          </w:divBdr>
        </w:div>
        <w:div w:id="1921594253">
          <w:marLeft w:val="0"/>
          <w:marRight w:val="0"/>
          <w:marTop w:val="0"/>
          <w:marBottom w:val="0"/>
          <w:divBdr>
            <w:top w:val="none" w:sz="0" w:space="0" w:color="auto"/>
            <w:left w:val="none" w:sz="0" w:space="0" w:color="auto"/>
            <w:bottom w:val="none" w:sz="0" w:space="0" w:color="auto"/>
            <w:right w:val="none" w:sz="0" w:space="0" w:color="auto"/>
          </w:divBdr>
        </w:div>
        <w:div w:id="1299144238">
          <w:marLeft w:val="0"/>
          <w:marRight w:val="0"/>
          <w:marTop w:val="0"/>
          <w:marBottom w:val="0"/>
          <w:divBdr>
            <w:top w:val="none" w:sz="0" w:space="0" w:color="auto"/>
            <w:left w:val="none" w:sz="0" w:space="0" w:color="auto"/>
            <w:bottom w:val="none" w:sz="0" w:space="0" w:color="auto"/>
            <w:right w:val="none" w:sz="0" w:space="0" w:color="auto"/>
          </w:divBdr>
        </w:div>
        <w:div w:id="960569252">
          <w:marLeft w:val="0"/>
          <w:marRight w:val="0"/>
          <w:marTop w:val="0"/>
          <w:marBottom w:val="0"/>
          <w:divBdr>
            <w:top w:val="none" w:sz="0" w:space="0" w:color="auto"/>
            <w:left w:val="none" w:sz="0" w:space="0" w:color="auto"/>
            <w:bottom w:val="none" w:sz="0" w:space="0" w:color="auto"/>
            <w:right w:val="none" w:sz="0" w:space="0" w:color="auto"/>
          </w:divBdr>
        </w:div>
        <w:div w:id="1801725407">
          <w:marLeft w:val="0"/>
          <w:marRight w:val="0"/>
          <w:marTop w:val="0"/>
          <w:marBottom w:val="0"/>
          <w:divBdr>
            <w:top w:val="none" w:sz="0" w:space="0" w:color="auto"/>
            <w:left w:val="none" w:sz="0" w:space="0" w:color="auto"/>
            <w:bottom w:val="none" w:sz="0" w:space="0" w:color="auto"/>
            <w:right w:val="none" w:sz="0" w:space="0" w:color="auto"/>
          </w:divBdr>
        </w:div>
        <w:div w:id="1605380526">
          <w:marLeft w:val="0"/>
          <w:marRight w:val="0"/>
          <w:marTop w:val="0"/>
          <w:marBottom w:val="0"/>
          <w:divBdr>
            <w:top w:val="none" w:sz="0" w:space="0" w:color="auto"/>
            <w:left w:val="none" w:sz="0" w:space="0" w:color="auto"/>
            <w:bottom w:val="none" w:sz="0" w:space="0" w:color="auto"/>
            <w:right w:val="none" w:sz="0" w:space="0" w:color="auto"/>
          </w:divBdr>
        </w:div>
        <w:div w:id="325136560">
          <w:marLeft w:val="0"/>
          <w:marRight w:val="0"/>
          <w:marTop w:val="0"/>
          <w:marBottom w:val="0"/>
          <w:divBdr>
            <w:top w:val="none" w:sz="0" w:space="0" w:color="auto"/>
            <w:left w:val="none" w:sz="0" w:space="0" w:color="auto"/>
            <w:bottom w:val="none" w:sz="0" w:space="0" w:color="auto"/>
            <w:right w:val="none" w:sz="0" w:space="0" w:color="auto"/>
          </w:divBdr>
        </w:div>
        <w:div w:id="1730808348">
          <w:marLeft w:val="0"/>
          <w:marRight w:val="0"/>
          <w:marTop w:val="0"/>
          <w:marBottom w:val="0"/>
          <w:divBdr>
            <w:top w:val="none" w:sz="0" w:space="0" w:color="auto"/>
            <w:left w:val="none" w:sz="0" w:space="0" w:color="auto"/>
            <w:bottom w:val="none" w:sz="0" w:space="0" w:color="auto"/>
            <w:right w:val="none" w:sz="0" w:space="0" w:color="auto"/>
          </w:divBdr>
        </w:div>
        <w:div w:id="1419865847">
          <w:marLeft w:val="0"/>
          <w:marRight w:val="0"/>
          <w:marTop w:val="0"/>
          <w:marBottom w:val="0"/>
          <w:divBdr>
            <w:top w:val="none" w:sz="0" w:space="0" w:color="auto"/>
            <w:left w:val="none" w:sz="0" w:space="0" w:color="auto"/>
            <w:bottom w:val="none" w:sz="0" w:space="0" w:color="auto"/>
            <w:right w:val="none" w:sz="0" w:space="0" w:color="auto"/>
          </w:divBdr>
        </w:div>
        <w:div w:id="545066873">
          <w:marLeft w:val="0"/>
          <w:marRight w:val="0"/>
          <w:marTop w:val="0"/>
          <w:marBottom w:val="0"/>
          <w:divBdr>
            <w:top w:val="none" w:sz="0" w:space="0" w:color="auto"/>
            <w:left w:val="none" w:sz="0" w:space="0" w:color="auto"/>
            <w:bottom w:val="none" w:sz="0" w:space="0" w:color="auto"/>
            <w:right w:val="none" w:sz="0" w:space="0" w:color="auto"/>
          </w:divBdr>
        </w:div>
        <w:div w:id="599415931">
          <w:marLeft w:val="0"/>
          <w:marRight w:val="0"/>
          <w:marTop w:val="0"/>
          <w:marBottom w:val="0"/>
          <w:divBdr>
            <w:top w:val="none" w:sz="0" w:space="0" w:color="auto"/>
            <w:left w:val="none" w:sz="0" w:space="0" w:color="auto"/>
            <w:bottom w:val="none" w:sz="0" w:space="0" w:color="auto"/>
            <w:right w:val="none" w:sz="0" w:space="0" w:color="auto"/>
          </w:divBdr>
        </w:div>
        <w:div w:id="45839413">
          <w:marLeft w:val="0"/>
          <w:marRight w:val="0"/>
          <w:marTop w:val="0"/>
          <w:marBottom w:val="0"/>
          <w:divBdr>
            <w:top w:val="none" w:sz="0" w:space="0" w:color="auto"/>
            <w:left w:val="none" w:sz="0" w:space="0" w:color="auto"/>
            <w:bottom w:val="none" w:sz="0" w:space="0" w:color="auto"/>
            <w:right w:val="none" w:sz="0" w:space="0" w:color="auto"/>
          </w:divBdr>
        </w:div>
        <w:div w:id="788936569">
          <w:marLeft w:val="0"/>
          <w:marRight w:val="0"/>
          <w:marTop w:val="0"/>
          <w:marBottom w:val="0"/>
          <w:divBdr>
            <w:top w:val="none" w:sz="0" w:space="0" w:color="auto"/>
            <w:left w:val="none" w:sz="0" w:space="0" w:color="auto"/>
            <w:bottom w:val="none" w:sz="0" w:space="0" w:color="auto"/>
            <w:right w:val="none" w:sz="0" w:space="0" w:color="auto"/>
          </w:divBdr>
        </w:div>
        <w:div w:id="855271512">
          <w:marLeft w:val="0"/>
          <w:marRight w:val="0"/>
          <w:marTop w:val="0"/>
          <w:marBottom w:val="0"/>
          <w:divBdr>
            <w:top w:val="none" w:sz="0" w:space="0" w:color="auto"/>
            <w:left w:val="none" w:sz="0" w:space="0" w:color="auto"/>
            <w:bottom w:val="none" w:sz="0" w:space="0" w:color="auto"/>
            <w:right w:val="none" w:sz="0" w:space="0" w:color="auto"/>
          </w:divBdr>
        </w:div>
        <w:div w:id="685180981">
          <w:marLeft w:val="0"/>
          <w:marRight w:val="0"/>
          <w:marTop w:val="0"/>
          <w:marBottom w:val="0"/>
          <w:divBdr>
            <w:top w:val="none" w:sz="0" w:space="0" w:color="auto"/>
            <w:left w:val="none" w:sz="0" w:space="0" w:color="auto"/>
            <w:bottom w:val="none" w:sz="0" w:space="0" w:color="auto"/>
            <w:right w:val="none" w:sz="0" w:space="0" w:color="auto"/>
          </w:divBdr>
        </w:div>
        <w:div w:id="1823236778">
          <w:marLeft w:val="0"/>
          <w:marRight w:val="0"/>
          <w:marTop w:val="0"/>
          <w:marBottom w:val="0"/>
          <w:divBdr>
            <w:top w:val="none" w:sz="0" w:space="0" w:color="auto"/>
            <w:left w:val="none" w:sz="0" w:space="0" w:color="auto"/>
            <w:bottom w:val="none" w:sz="0" w:space="0" w:color="auto"/>
            <w:right w:val="none" w:sz="0" w:space="0" w:color="auto"/>
          </w:divBdr>
        </w:div>
        <w:div w:id="1089354145">
          <w:marLeft w:val="0"/>
          <w:marRight w:val="0"/>
          <w:marTop w:val="0"/>
          <w:marBottom w:val="0"/>
          <w:divBdr>
            <w:top w:val="none" w:sz="0" w:space="0" w:color="auto"/>
            <w:left w:val="none" w:sz="0" w:space="0" w:color="auto"/>
            <w:bottom w:val="none" w:sz="0" w:space="0" w:color="auto"/>
            <w:right w:val="none" w:sz="0" w:space="0" w:color="auto"/>
          </w:divBdr>
        </w:div>
        <w:div w:id="2129887102">
          <w:marLeft w:val="0"/>
          <w:marRight w:val="0"/>
          <w:marTop w:val="0"/>
          <w:marBottom w:val="0"/>
          <w:divBdr>
            <w:top w:val="none" w:sz="0" w:space="0" w:color="auto"/>
            <w:left w:val="none" w:sz="0" w:space="0" w:color="auto"/>
            <w:bottom w:val="none" w:sz="0" w:space="0" w:color="auto"/>
            <w:right w:val="none" w:sz="0" w:space="0" w:color="auto"/>
          </w:divBdr>
        </w:div>
        <w:div w:id="1061095222">
          <w:marLeft w:val="0"/>
          <w:marRight w:val="0"/>
          <w:marTop w:val="0"/>
          <w:marBottom w:val="0"/>
          <w:divBdr>
            <w:top w:val="none" w:sz="0" w:space="0" w:color="auto"/>
            <w:left w:val="none" w:sz="0" w:space="0" w:color="auto"/>
            <w:bottom w:val="none" w:sz="0" w:space="0" w:color="auto"/>
            <w:right w:val="none" w:sz="0" w:space="0" w:color="auto"/>
          </w:divBdr>
        </w:div>
        <w:div w:id="464932627">
          <w:marLeft w:val="0"/>
          <w:marRight w:val="0"/>
          <w:marTop w:val="0"/>
          <w:marBottom w:val="0"/>
          <w:divBdr>
            <w:top w:val="none" w:sz="0" w:space="0" w:color="auto"/>
            <w:left w:val="none" w:sz="0" w:space="0" w:color="auto"/>
            <w:bottom w:val="none" w:sz="0" w:space="0" w:color="auto"/>
            <w:right w:val="none" w:sz="0" w:space="0" w:color="auto"/>
          </w:divBdr>
        </w:div>
        <w:div w:id="605037798">
          <w:marLeft w:val="0"/>
          <w:marRight w:val="0"/>
          <w:marTop w:val="0"/>
          <w:marBottom w:val="0"/>
          <w:divBdr>
            <w:top w:val="none" w:sz="0" w:space="0" w:color="auto"/>
            <w:left w:val="none" w:sz="0" w:space="0" w:color="auto"/>
            <w:bottom w:val="none" w:sz="0" w:space="0" w:color="auto"/>
            <w:right w:val="none" w:sz="0" w:space="0" w:color="auto"/>
          </w:divBdr>
        </w:div>
        <w:div w:id="327830869">
          <w:marLeft w:val="0"/>
          <w:marRight w:val="0"/>
          <w:marTop w:val="0"/>
          <w:marBottom w:val="0"/>
          <w:divBdr>
            <w:top w:val="none" w:sz="0" w:space="0" w:color="auto"/>
            <w:left w:val="none" w:sz="0" w:space="0" w:color="auto"/>
            <w:bottom w:val="none" w:sz="0" w:space="0" w:color="auto"/>
            <w:right w:val="none" w:sz="0" w:space="0" w:color="auto"/>
          </w:divBdr>
        </w:div>
        <w:div w:id="1363901865">
          <w:marLeft w:val="0"/>
          <w:marRight w:val="0"/>
          <w:marTop w:val="0"/>
          <w:marBottom w:val="0"/>
          <w:divBdr>
            <w:top w:val="none" w:sz="0" w:space="0" w:color="auto"/>
            <w:left w:val="none" w:sz="0" w:space="0" w:color="auto"/>
            <w:bottom w:val="none" w:sz="0" w:space="0" w:color="auto"/>
            <w:right w:val="none" w:sz="0" w:space="0" w:color="auto"/>
          </w:divBdr>
        </w:div>
        <w:div w:id="1746610051">
          <w:marLeft w:val="0"/>
          <w:marRight w:val="0"/>
          <w:marTop w:val="0"/>
          <w:marBottom w:val="0"/>
          <w:divBdr>
            <w:top w:val="none" w:sz="0" w:space="0" w:color="auto"/>
            <w:left w:val="none" w:sz="0" w:space="0" w:color="auto"/>
            <w:bottom w:val="none" w:sz="0" w:space="0" w:color="auto"/>
            <w:right w:val="none" w:sz="0" w:space="0" w:color="auto"/>
          </w:divBdr>
        </w:div>
        <w:div w:id="1300918101">
          <w:marLeft w:val="0"/>
          <w:marRight w:val="0"/>
          <w:marTop w:val="0"/>
          <w:marBottom w:val="0"/>
          <w:divBdr>
            <w:top w:val="none" w:sz="0" w:space="0" w:color="auto"/>
            <w:left w:val="none" w:sz="0" w:space="0" w:color="auto"/>
            <w:bottom w:val="none" w:sz="0" w:space="0" w:color="auto"/>
            <w:right w:val="none" w:sz="0" w:space="0" w:color="auto"/>
          </w:divBdr>
        </w:div>
        <w:div w:id="1239679282">
          <w:marLeft w:val="0"/>
          <w:marRight w:val="0"/>
          <w:marTop w:val="0"/>
          <w:marBottom w:val="0"/>
          <w:divBdr>
            <w:top w:val="none" w:sz="0" w:space="0" w:color="auto"/>
            <w:left w:val="none" w:sz="0" w:space="0" w:color="auto"/>
            <w:bottom w:val="none" w:sz="0" w:space="0" w:color="auto"/>
            <w:right w:val="none" w:sz="0" w:space="0" w:color="auto"/>
          </w:divBdr>
        </w:div>
        <w:div w:id="1857957843">
          <w:marLeft w:val="0"/>
          <w:marRight w:val="0"/>
          <w:marTop w:val="0"/>
          <w:marBottom w:val="0"/>
          <w:divBdr>
            <w:top w:val="none" w:sz="0" w:space="0" w:color="auto"/>
            <w:left w:val="none" w:sz="0" w:space="0" w:color="auto"/>
            <w:bottom w:val="none" w:sz="0" w:space="0" w:color="auto"/>
            <w:right w:val="none" w:sz="0" w:space="0" w:color="auto"/>
          </w:divBdr>
        </w:div>
        <w:div w:id="1524005811">
          <w:marLeft w:val="0"/>
          <w:marRight w:val="0"/>
          <w:marTop w:val="0"/>
          <w:marBottom w:val="0"/>
          <w:divBdr>
            <w:top w:val="none" w:sz="0" w:space="0" w:color="auto"/>
            <w:left w:val="none" w:sz="0" w:space="0" w:color="auto"/>
            <w:bottom w:val="none" w:sz="0" w:space="0" w:color="auto"/>
            <w:right w:val="none" w:sz="0" w:space="0" w:color="auto"/>
          </w:divBdr>
        </w:div>
        <w:div w:id="913392680">
          <w:marLeft w:val="0"/>
          <w:marRight w:val="0"/>
          <w:marTop w:val="0"/>
          <w:marBottom w:val="0"/>
          <w:divBdr>
            <w:top w:val="none" w:sz="0" w:space="0" w:color="auto"/>
            <w:left w:val="none" w:sz="0" w:space="0" w:color="auto"/>
            <w:bottom w:val="none" w:sz="0" w:space="0" w:color="auto"/>
            <w:right w:val="none" w:sz="0" w:space="0" w:color="auto"/>
          </w:divBdr>
        </w:div>
        <w:div w:id="1438870133">
          <w:marLeft w:val="0"/>
          <w:marRight w:val="0"/>
          <w:marTop w:val="0"/>
          <w:marBottom w:val="0"/>
          <w:divBdr>
            <w:top w:val="none" w:sz="0" w:space="0" w:color="auto"/>
            <w:left w:val="none" w:sz="0" w:space="0" w:color="auto"/>
            <w:bottom w:val="none" w:sz="0" w:space="0" w:color="auto"/>
            <w:right w:val="none" w:sz="0" w:space="0" w:color="auto"/>
          </w:divBdr>
        </w:div>
        <w:div w:id="529487833">
          <w:marLeft w:val="0"/>
          <w:marRight w:val="0"/>
          <w:marTop w:val="0"/>
          <w:marBottom w:val="0"/>
          <w:divBdr>
            <w:top w:val="none" w:sz="0" w:space="0" w:color="auto"/>
            <w:left w:val="none" w:sz="0" w:space="0" w:color="auto"/>
            <w:bottom w:val="none" w:sz="0" w:space="0" w:color="auto"/>
            <w:right w:val="none" w:sz="0" w:space="0" w:color="auto"/>
          </w:divBdr>
        </w:div>
        <w:div w:id="1477725549">
          <w:marLeft w:val="0"/>
          <w:marRight w:val="0"/>
          <w:marTop w:val="0"/>
          <w:marBottom w:val="0"/>
          <w:divBdr>
            <w:top w:val="none" w:sz="0" w:space="0" w:color="auto"/>
            <w:left w:val="none" w:sz="0" w:space="0" w:color="auto"/>
            <w:bottom w:val="none" w:sz="0" w:space="0" w:color="auto"/>
            <w:right w:val="none" w:sz="0" w:space="0" w:color="auto"/>
          </w:divBdr>
          <w:divsChild>
            <w:div w:id="1990330154">
              <w:marLeft w:val="-75"/>
              <w:marRight w:val="0"/>
              <w:marTop w:val="30"/>
              <w:marBottom w:val="30"/>
              <w:divBdr>
                <w:top w:val="none" w:sz="0" w:space="0" w:color="auto"/>
                <w:left w:val="none" w:sz="0" w:space="0" w:color="auto"/>
                <w:bottom w:val="none" w:sz="0" w:space="0" w:color="auto"/>
                <w:right w:val="none" w:sz="0" w:space="0" w:color="auto"/>
              </w:divBdr>
              <w:divsChild>
                <w:div w:id="1734546815">
                  <w:marLeft w:val="0"/>
                  <w:marRight w:val="0"/>
                  <w:marTop w:val="0"/>
                  <w:marBottom w:val="0"/>
                  <w:divBdr>
                    <w:top w:val="none" w:sz="0" w:space="0" w:color="auto"/>
                    <w:left w:val="none" w:sz="0" w:space="0" w:color="auto"/>
                    <w:bottom w:val="none" w:sz="0" w:space="0" w:color="auto"/>
                    <w:right w:val="none" w:sz="0" w:space="0" w:color="auto"/>
                  </w:divBdr>
                  <w:divsChild>
                    <w:div w:id="1057126935">
                      <w:marLeft w:val="0"/>
                      <w:marRight w:val="0"/>
                      <w:marTop w:val="0"/>
                      <w:marBottom w:val="0"/>
                      <w:divBdr>
                        <w:top w:val="none" w:sz="0" w:space="0" w:color="auto"/>
                        <w:left w:val="none" w:sz="0" w:space="0" w:color="auto"/>
                        <w:bottom w:val="none" w:sz="0" w:space="0" w:color="auto"/>
                        <w:right w:val="none" w:sz="0" w:space="0" w:color="auto"/>
                      </w:divBdr>
                    </w:div>
                  </w:divsChild>
                </w:div>
                <w:div w:id="841241259">
                  <w:marLeft w:val="0"/>
                  <w:marRight w:val="0"/>
                  <w:marTop w:val="0"/>
                  <w:marBottom w:val="0"/>
                  <w:divBdr>
                    <w:top w:val="none" w:sz="0" w:space="0" w:color="auto"/>
                    <w:left w:val="none" w:sz="0" w:space="0" w:color="auto"/>
                    <w:bottom w:val="none" w:sz="0" w:space="0" w:color="auto"/>
                    <w:right w:val="none" w:sz="0" w:space="0" w:color="auto"/>
                  </w:divBdr>
                  <w:divsChild>
                    <w:div w:id="1107888317">
                      <w:marLeft w:val="0"/>
                      <w:marRight w:val="0"/>
                      <w:marTop w:val="0"/>
                      <w:marBottom w:val="0"/>
                      <w:divBdr>
                        <w:top w:val="none" w:sz="0" w:space="0" w:color="auto"/>
                        <w:left w:val="none" w:sz="0" w:space="0" w:color="auto"/>
                        <w:bottom w:val="none" w:sz="0" w:space="0" w:color="auto"/>
                        <w:right w:val="none" w:sz="0" w:space="0" w:color="auto"/>
                      </w:divBdr>
                    </w:div>
                  </w:divsChild>
                </w:div>
                <w:div w:id="628752401">
                  <w:marLeft w:val="0"/>
                  <w:marRight w:val="0"/>
                  <w:marTop w:val="0"/>
                  <w:marBottom w:val="0"/>
                  <w:divBdr>
                    <w:top w:val="none" w:sz="0" w:space="0" w:color="auto"/>
                    <w:left w:val="none" w:sz="0" w:space="0" w:color="auto"/>
                    <w:bottom w:val="none" w:sz="0" w:space="0" w:color="auto"/>
                    <w:right w:val="none" w:sz="0" w:space="0" w:color="auto"/>
                  </w:divBdr>
                  <w:divsChild>
                    <w:div w:id="136534216">
                      <w:marLeft w:val="0"/>
                      <w:marRight w:val="0"/>
                      <w:marTop w:val="0"/>
                      <w:marBottom w:val="0"/>
                      <w:divBdr>
                        <w:top w:val="none" w:sz="0" w:space="0" w:color="auto"/>
                        <w:left w:val="none" w:sz="0" w:space="0" w:color="auto"/>
                        <w:bottom w:val="none" w:sz="0" w:space="0" w:color="auto"/>
                        <w:right w:val="none" w:sz="0" w:space="0" w:color="auto"/>
                      </w:divBdr>
                    </w:div>
                  </w:divsChild>
                </w:div>
                <w:div w:id="1213812921">
                  <w:marLeft w:val="0"/>
                  <w:marRight w:val="0"/>
                  <w:marTop w:val="0"/>
                  <w:marBottom w:val="0"/>
                  <w:divBdr>
                    <w:top w:val="none" w:sz="0" w:space="0" w:color="auto"/>
                    <w:left w:val="none" w:sz="0" w:space="0" w:color="auto"/>
                    <w:bottom w:val="none" w:sz="0" w:space="0" w:color="auto"/>
                    <w:right w:val="none" w:sz="0" w:space="0" w:color="auto"/>
                  </w:divBdr>
                  <w:divsChild>
                    <w:div w:id="98835413">
                      <w:marLeft w:val="0"/>
                      <w:marRight w:val="0"/>
                      <w:marTop w:val="0"/>
                      <w:marBottom w:val="0"/>
                      <w:divBdr>
                        <w:top w:val="none" w:sz="0" w:space="0" w:color="auto"/>
                        <w:left w:val="none" w:sz="0" w:space="0" w:color="auto"/>
                        <w:bottom w:val="none" w:sz="0" w:space="0" w:color="auto"/>
                        <w:right w:val="none" w:sz="0" w:space="0" w:color="auto"/>
                      </w:divBdr>
                    </w:div>
                  </w:divsChild>
                </w:div>
                <w:div w:id="1836528340">
                  <w:marLeft w:val="0"/>
                  <w:marRight w:val="0"/>
                  <w:marTop w:val="0"/>
                  <w:marBottom w:val="0"/>
                  <w:divBdr>
                    <w:top w:val="none" w:sz="0" w:space="0" w:color="auto"/>
                    <w:left w:val="none" w:sz="0" w:space="0" w:color="auto"/>
                    <w:bottom w:val="none" w:sz="0" w:space="0" w:color="auto"/>
                    <w:right w:val="none" w:sz="0" w:space="0" w:color="auto"/>
                  </w:divBdr>
                  <w:divsChild>
                    <w:div w:id="1569420919">
                      <w:marLeft w:val="0"/>
                      <w:marRight w:val="0"/>
                      <w:marTop w:val="0"/>
                      <w:marBottom w:val="0"/>
                      <w:divBdr>
                        <w:top w:val="none" w:sz="0" w:space="0" w:color="auto"/>
                        <w:left w:val="none" w:sz="0" w:space="0" w:color="auto"/>
                        <w:bottom w:val="none" w:sz="0" w:space="0" w:color="auto"/>
                        <w:right w:val="none" w:sz="0" w:space="0" w:color="auto"/>
                      </w:divBdr>
                    </w:div>
                  </w:divsChild>
                </w:div>
                <w:div w:id="277639508">
                  <w:marLeft w:val="0"/>
                  <w:marRight w:val="0"/>
                  <w:marTop w:val="0"/>
                  <w:marBottom w:val="0"/>
                  <w:divBdr>
                    <w:top w:val="none" w:sz="0" w:space="0" w:color="auto"/>
                    <w:left w:val="none" w:sz="0" w:space="0" w:color="auto"/>
                    <w:bottom w:val="none" w:sz="0" w:space="0" w:color="auto"/>
                    <w:right w:val="none" w:sz="0" w:space="0" w:color="auto"/>
                  </w:divBdr>
                  <w:divsChild>
                    <w:div w:id="87387258">
                      <w:marLeft w:val="0"/>
                      <w:marRight w:val="0"/>
                      <w:marTop w:val="0"/>
                      <w:marBottom w:val="0"/>
                      <w:divBdr>
                        <w:top w:val="none" w:sz="0" w:space="0" w:color="auto"/>
                        <w:left w:val="none" w:sz="0" w:space="0" w:color="auto"/>
                        <w:bottom w:val="none" w:sz="0" w:space="0" w:color="auto"/>
                        <w:right w:val="none" w:sz="0" w:space="0" w:color="auto"/>
                      </w:divBdr>
                    </w:div>
                    <w:div w:id="1052997875">
                      <w:marLeft w:val="0"/>
                      <w:marRight w:val="0"/>
                      <w:marTop w:val="0"/>
                      <w:marBottom w:val="0"/>
                      <w:divBdr>
                        <w:top w:val="none" w:sz="0" w:space="0" w:color="auto"/>
                        <w:left w:val="none" w:sz="0" w:space="0" w:color="auto"/>
                        <w:bottom w:val="none" w:sz="0" w:space="0" w:color="auto"/>
                        <w:right w:val="none" w:sz="0" w:space="0" w:color="auto"/>
                      </w:divBdr>
                    </w:div>
                    <w:div w:id="889345337">
                      <w:marLeft w:val="0"/>
                      <w:marRight w:val="0"/>
                      <w:marTop w:val="0"/>
                      <w:marBottom w:val="0"/>
                      <w:divBdr>
                        <w:top w:val="none" w:sz="0" w:space="0" w:color="auto"/>
                        <w:left w:val="none" w:sz="0" w:space="0" w:color="auto"/>
                        <w:bottom w:val="none" w:sz="0" w:space="0" w:color="auto"/>
                        <w:right w:val="none" w:sz="0" w:space="0" w:color="auto"/>
                      </w:divBdr>
                    </w:div>
                  </w:divsChild>
                </w:div>
                <w:div w:id="369917650">
                  <w:marLeft w:val="0"/>
                  <w:marRight w:val="0"/>
                  <w:marTop w:val="0"/>
                  <w:marBottom w:val="0"/>
                  <w:divBdr>
                    <w:top w:val="none" w:sz="0" w:space="0" w:color="auto"/>
                    <w:left w:val="none" w:sz="0" w:space="0" w:color="auto"/>
                    <w:bottom w:val="none" w:sz="0" w:space="0" w:color="auto"/>
                    <w:right w:val="none" w:sz="0" w:space="0" w:color="auto"/>
                  </w:divBdr>
                  <w:divsChild>
                    <w:div w:id="1615865973">
                      <w:marLeft w:val="0"/>
                      <w:marRight w:val="0"/>
                      <w:marTop w:val="0"/>
                      <w:marBottom w:val="0"/>
                      <w:divBdr>
                        <w:top w:val="none" w:sz="0" w:space="0" w:color="auto"/>
                        <w:left w:val="none" w:sz="0" w:space="0" w:color="auto"/>
                        <w:bottom w:val="none" w:sz="0" w:space="0" w:color="auto"/>
                        <w:right w:val="none" w:sz="0" w:space="0" w:color="auto"/>
                      </w:divBdr>
                    </w:div>
                  </w:divsChild>
                </w:div>
                <w:div w:id="58477043">
                  <w:marLeft w:val="0"/>
                  <w:marRight w:val="0"/>
                  <w:marTop w:val="0"/>
                  <w:marBottom w:val="0"/>
                  <w:divBdr>
                    <w:top w:val="none" w:sz="0" w:space="0" w:color="auto"/>
                    <w:left w:val="none" w:sz="0" w:space="0" w:color="auto"/>
                    <w:bottom w:val="none" w:sz="0" w:space="0" w:color="auto"/>
                    <w:right w:val="none" w:sz="0" w:space="0" w:color="auto"/>
                  </w:divBdr>
                  <w:divsChild>
                    <w:div w:id="1772236396">
                      <w:marLeft w:val="0"/>
                      <w:marRight w:val="0"/>
                      <w:marTop w:val="0"/>
                      <w:marBottom w:val="0"/>
                      <w:divBdr>
                        <w:top w:val="none" w:sz="0" w:space="0" w:color="auto"/>
                        <w:left w:val="none" w:sz="0" w:space="0" w:color="auto"/>
                        <w:bottom w:val="none" w:sz="0" w:space="0" w:color="auto"/>
                        <w:right w:val="none" w:sz="0" w:space="0" w:color="auto"/>
                      </w:divBdr>
                    </w:div>
                  </w:divsChild>
                </w:div>
                <w:div w:id="1733653408">
                  <w:marLeft w:val="0"/>
                  <w:marRight w:val="0"/>
                  <w:marTop w:val="0"/>
                  <w:marBottom w:val="0"/>
                  <w:divBdr>
                    <w:top w:val="none" w:sz="0" w:space="0" w:color="auto"/>
                    <w:left w:val="none" w:sz="0" w:space="0" w:color="auto"/>
                    <w:bottom w:val="none" w:sz="0" w:space="0" w:color="auto"/>
                    <w:right w:val="none" w:sz="0" w:space="0" w:color="auto"/>
                  </w:divBdr>
                  <w:divsChild>
                    <w:div w:id="185757006">
                      <w:marLeft w:val="0"/>
                      <w:marRight w:val="0"/>
                      <w:marTop w:val="0"/>
                      <w:marBottom w:val="0"/>
                      <w:divBdr>
                        <w:top w:val="none" w:sz="0" w:space="0" w:color="auto"/>
                        <w:left w:val="none" w:sz="0" w:space="0" w:color="auto"/>
                        <w:bottom w:val="none" w:sz="0" w:space="0" w:color="auto"/>
                        <w:right w:val="none" w:sz="0" w:space="0" w:color="auto"/>
                      </w:divBdr>
                    </w:div>
                  </w:divsChild>
                </w:div>
                <w:div w:id="1363745070">
                  <w:marLeft w:val="0"/>
                  <w:marRight w:val="0"/>
                  <w:marTop w:val="0"/>
                  <w:marBottom w:val="0"/>
                  <w:divBdr>
                    <w:top w:val="none" w:sz="0" w:space="0" w:color="auto"/>
                    <w:left w:val="none" w:sz="0" w:space="0" w:color="auto"/>
                    <w:bottom w:val="none" w:sz="0" w:space="0" w:color="auto"/>
                    <w:right w:val="none" w:sz="0" w:space="0" w:color="auto"/>
                  </w:divBdr>
                  <w:divsChild>
                    <w:div w:id="1962807813">
                      <w:marLeft w:val="0"/>
                      <w:marRight w:val="0"/>
                      <w:marTop w:val="0"/>
                      <w:marBottom w:val="0"/>
                      <w:divBdr>
                        <w:top w:val="none" w:sz="0" w:space="0" w:color="auto"/>
                        <w:left w:val="none" w:sz="0" w:space="0" w:color="auto"/>
                        <w:bottom w:val="none" w:sz="0" w:space="0" w:color="auto"/>
                        <w:right w:val="none" w:sz="0" w:space="0" w:color="auto"/>
                      </w:divBdr>
                    </w:div>
                  </w:divsChild>
                </w:div>
                <w:div w:id="970861164">
                  <w:marLeft w:val="0"/>
                  <w:marRight w:val="0"/>
                  <w:marTop w:val="0"/>
                  <w:marBottom w:val="0"/>
                  <w:divBdr>
                    <w:top w:val="none" w:sz="0" w:space="0" w:color="auto"/>
                    <w:left w:val="none" w:sz="0" w:space="0" w:color="auto"/>
                    <w:bottom w:val="none" w:sz="0" w:space="0" w:color="auto"/>
                    <w:right w:val="none" w:sz="0" w:space="0" w:color="auto"/>
                  </w:divBdr>
                  <w:divsChild>
                    <w:div w:id="387076073">
                      <w:marLeft w:val="0"/>
                      <w:marRight w:val="0"/>
                      <w:marTop w:val="0"/>
                      <w:marBottom w:val="0"/>
                      <w:divBdr>
                        <w:top w:val="none" w:sz="0" w:space="0" w:color="auto"/>
                        <w:left w:val="none" w:sz="0" w:space="0" w:color="auto"/>
                        <w:bottom w:val="none" w:sz="0" w:space="0" w:color="auto"/>
                        <w:right w:val="none" w:sz="0" w:space="0" w:color="auto"/>
                      </w:divBdr>
                    </w:div>
                  </w:divsChild>
                </w:div>
                <w:div w:id="360938055">
                  <w:marLeft w:val="0"/>
                  <w:marRight w:val="0"/>
                  <w:marTop w:val="0"/>
                  <w:marBottom w:val="0"/>
                  <w:divBdr>
                    <w:top w:val="none" w:sz="0" w:space="0" w:color="auto"/>
                    <w:left w:val="none" w:sz="0" w:space="0" w:color="auto"/>
                    <w:bottom w:val="none" w:sz="0" w:space="0" w:color="auto"/>
                    <w:right w:val="none" w:sz="0" w:space="0" w:color="auto"/>
                  </w:divBdr>
                  <w:divsChild>
                    <w:div w:id="101189096">
                      <w:marLeft w:val="0"/>
                      <w:marRight w:val="0"/>
                      <w:marTop w:val="0"/>
                      <w:marBottom w:val="0"/>
                      <w:divBdr>
                        <w:top w:val="none" w:sz="0" w:space="0" w:color="auto"/>
                        <w:left w:val="none" w:sz="0" w:space="0" w:color="auto"/>
                        <w:bottom w:val="none" w:sz="0" w:space="0" w:color="auto"/>
                        <w:right w:val="none" w:sz="0" w:space="0" w:color="auto"/>
                      </w:divBdr>
                    </w:div>
                    <w:div w:id="317803079">
                      <w:marLeft w:val="0"/>
                      <w:marRight w:val="0"/>
                      <w:marTop w:val="0"/>
                      <w:marBottom w:val="0"/>
                      <w:divBdr>
                        <w:top w:val="none" w:sz="0" w:space="0" w:color="auto"/>
                        <w:left w:val="none" w:sz="0" w:space="0" w:color="auto"/>
                        <w:bottom w:val="none" w:sz="0" w:space="0" w:color="auto"/>
                        <w:right w:val="none" w:sz="0" w:space="0" w:color="auto"/>
                      </w:divBdr>
                    </w:div>
                    <w:div w:id="651566294">
                      <w:marLeft w:val="0"/>
                      <w:marRight w:val="0"/>
                      <w:marTop w:val="0"/>
                      <w:marBottom w:val="0"/>
                      <w:divBdr>
                        <w:top w:val="none" w:sz="0" w:space="0" w:color="auto"/>
                        <w:left w:val="none" w:sz="0" w:space="0" w:color="auto"/>
                        <w:bottom w:val="none" w:sz="0" w:space="0" w:color="auto"/>
                        <w:right w:val="none" w:sz="0" w:space="0" w:color="auto"/>
                      </w:divBdr>
                    </w:div>
                    <w:div w:id="1267272071">
                      <w:marLeft w:val="0"/>
                      <w:marRight w:val="0"/>
                      <w:marTop w:val="0"/>
                      <w:marBottom w:val="0"/>
                      <w:divBdr>
                        <w:top w:val="none" w:sz="0" w:space="0" w:color="auto"/>
                        <w:left w:val="none" w:sz="0" w:space="0" w:color="auto"/>
                        <w:bottom w:val="none" w:sz="0" w:space="0" w:color="auto"/>
                        <w:right w:val="none" w:sz="0" w:space="0" w:color="auto"/>
                      </w:divBdr>
                    </w:div>
                  </w:divsChild>
                </w:div>
                <w:div w:id="209851796">
                  <w:marLeft w:val="0"/>
                  <w:marRight w:val="0"/>
                  <w:marTop w:val="0"/>
                  <w:marBottom w:val="0"/>
                  <w:divBdr>
                    <w:top w:val="none" w:sz="0" w:space="0" w:color="auto"/>
                    <w:left w:val="none" w:sz="0" w:space="0" w:color="auto"/>
                    <w:bottom w:val="none" w:sz="0" w:space="0" w:color="auto"/>
                    <w:right w:val="none" w:sz="0" w:space="0" w:color="auto"/>
                  </w:divBdr>
                  <w:divsChild>
                    <w:div w:id="618340328">
                      <w:marLeft w:val="0"/>
                      <w:marRight w:val="0"/>
                      <w:marTop w:val="0"/>
                      <w:marBottom w:val="0"/>
                      <w:divBdr>
                        <w:top w:val="none" w:sz="0" w:space="0" w:color="auto"/>
                        <w:left w:val="none" w:sz="0" w:space="0" w:color="auto"/>
                        <w:bottom w:val="none" w:sz="0" w:space="0" w:color="auto"/>
                        <w:right w:val="none" w:sz="0" w:space="0" w:color="auto"/>
                      </w:divBdr>
                    </w:div>
                  </w:divsChild>
                </w:div>
                <w:div w:id="1935749116">
                  <w:marLeft w:val="0"/>
                  <w:marRight w:val="0"/>
                  <w:marTop w:val="0"/>
                  <w:marBottom w:val="0"/>
                  <w:divBdr>
                    <w:top w:val="none" w:sz="0" w:space="0" w:color="auto"/>
                    <w:left w:val="none" w:sz="0" w:space="0" w:color="auto"/>
                    <w:bottom w:val="none" w:sz="0" w:space="0" w:color="auto"/>
                    <w:right w:val="none" w:sz="0" w:space="0" w:color="auto"/>
                  </w:divBdr>
                  <w:divsChild>
                    <w:div w:id="1637250453">
                      <w:marLeft w:val="0"/>
                      <w:marRight w:val="0"/>
                      <w:marTop w:val="0"/>
                      <w:marBottom w:val="0"/>
                      <w:divBdr>
                        <w:top w:val="none" w:sz="0" w:space="0" w:color="auto"/>
                        <w:left w:val="none" w:sz="0" w:space="0" w:color="auto"/>
                        <w:bottom w:val="none" w:sz="0" w:space="0" w:color="auto"/>
                        <w:right w:val="none" w:sz="0" w:space="0" w:color="auto"/>
                      </w:divBdr>
                    </w:div>
                  </w:divsChild>
                </w:div>
                <w:div w:id="572398189">
                  <w:marLeft w:val="0"/>
                  <w:marRight w:val="0"/>
                  <w:marTop w:val="0"/>
                  <w:marBottom w:val="0"/>
                  <w:divBdr>
                    <w:top w:val="none" w:sz="0" w:space="0" w:color="auto"/>
                    <w:left w:val="none" w:sz="0" w:space="0" w:color="auto"/>
                    <w:bottom w:val="none" w:sz="0" w:space="0" w:color="auto"/>
                    <w:right w:val="none" w:sz="0" w:space="0" w:color="auto"/>
                  </w:divBdr>
                  <w:divsChild>
                    <w:div w:id="1942908260">
                      <w:marLeft w:val="0"/>
                      <w:marRight w:val="0"/>
                      <w:marTop w:val="0"/>
                      <w:marBottom w:val="0"/>
                      <w:divBdr>
                        <w:top w:val="none" w:sz="0" w:space="0" w:color="auto"/>
                        <w:left w:val="none" w:sz="0" w:space="0" w:color="auto"/>
                        <w:bottom w:val="none" w:sz="0" w:space="0" w:color="auto"/>
                        <w:right w:val="none" w:sz="0" w:space="0" w:color="auto"/>
                      </w:divBdr>
                    </w:div>
                    <w:div w:id="762260898">
                      <w:marLeft w:val="0"/>
                      <w:marRight w:val="0"/>
                      <w:marTop w:val="0"/>
                      <w:marBottom w:val="0"/>
                      <w:divBdr>
                        <w:top w:val="none" w:sz="0" w:space="0" w:color="auto"/>
                        <w:left w:val="none" w:sz="0" w:space="0" w:color="auto"/>
                        <w:bottom w:val="none" w:sz="0" w:space="0" w:color="auto"/>
                        <w:right w:val="none" w:sz="0" w:space="0" w:color="auto"/>
                      </w:divBdr>
                    </w:div>
                    <w:div w:id="967123137">
                      <w:marLeft w:val="0"/>
                      <w:marRight w:val="0"/>
                      <w:marTop w:val="0"/>
                      <w:marBottom w:val="0"/>
                      <w:divBdr>
                        <w:top w:val="none" w:sz="0" w:space="0" w:color="auto"/>
                        <w:left w:val="none" w:sz="0" w:space="0" w:color="auto"/>
                        <w:bottom w:val="none" w:sz="0" w:space="0" w:color="auto"/>
                        <w:right w:val="none" w:sz="0" w:space="0" w:color="auto"/>
                      </w:divBdr>
                    </w:div>
                    <w:div w:id="325206056">
                      <w:marLeft w:val="0"/>
                      <w:marRight w:val="0"/>
                      <w:marTop w:val="0"/>
                      <w:marBottom w:val="0"/>
                      <w:divBdr>
                        <w:top w:val="none" w:sz="0" w:space="0" w:color="auto"/>
                        <w:left w:val="none" w:sz="0" w:space="0" w:color="auto"/>
                        <w:bottom w:val="none" w:sz="0" w:space="0" w:color="auto"/>
                        <w:right w:val="none" w:sz="0" w:space="0" w:color="auto"/>
                      </w:divBdr>
                    </w:div>
                    <w:div w:id="1680235274">
                      <w:marLeft w:val="0"/>
                      <w:marRight w:val="0"/>
                      <w:marTop w:val="0"/>
                      <w:marBottom w:val="0"/>
                      <w:divBdr>
                        <w:top w:val="none" w:sz="0" w:space="0" w:color="auto"/>
                        <w:left w:val="none" w:sz="0" w:space="0" w:color="auto"/>
                        <w:bottom w:val="none" w:sz="0" w:space="0" w:color="auto"/>
                        <w:right w:val="none" w:sz="0" w:space="0" w:color="auto"/>
                      </w:divBdr>
                    </w:div>
                  </w:divsChild>
                </w:div>
                <w:div w:id="1422213586">
                  <w:marLeft w:val="0"/>
                  <w:marRight w:val="0"/>
                  <w:marTop w:val="0"/>
                  <w:marBottom w:val="0"/>
                  <w:divBdr>
                    <w:top w:val="none" w:sz="0" w:space="0" w:color="auto"/>
                    <w:left w:val="none" w:sz="0" w:space="0" w:color="auto"/>
                    <w:bottom w:val="none" w:sz="0" w:space="0" w:color="auto"/>
                    <w:right w:val="none" w:sz="0" w:space="0" w:color="auto"/>
                  </w:divBdr>
                  <w:divsChild>
                    <w:div w:id="1339500769">
                      <w:marLeft w:val="0"/>
                      <w:marRight w:val="0"/>
                      <w:marTop w:val="0"/>
                      <w:marBottom w:val="0"/>
                      <w:divBdr>
                        <w:top w:val="none" w:sz="0" w:space="0" w:color="auto"/>
                        <w:left w:val="none" w:sz="0" w:space="0" w:color="auto"/>
                        <w:bottom w:val="none" w:sz="0" w:space="0" w:color="auto"/>
                        <w:right w:val="none" w:sz="0" w:space="0" w:color="auto"/>
                      </w:divBdr>
                    </w:div>
                  </w:divsChild>
                </w:div>
                <w:div w:id="1087769270">
                  <w:marLeft w:val="0"/>
                  <w:marRight w:val="0"/>
                  <w:marTop w:val="0"/>
                  <w:marBottom w:val="0"/>
                  <w:divBdr>
                    <w:top w:val="none" w:sz="0" w:space="0" w:color="auto"/>
                    <w:left w:val="none" w:sz="0" w:space="0" w:color="auto"/>
                    <w:bottom w:val="none" w:sz="0" w:space="0" w:color="auto"/>
                    <w:right w:val="none" w:sz="0" w:space="0" w:color="auto"/>
                  </w:divBdr>
                  <w:divsChild>
                    <w:div w:id="767702041">
                      <w:marLeft w:val="0"/>
                      <w:marRight w:val="0"/>
                      <w:marTop w:val="0"/>
                      <w:marBottom w:val="0"/>
                      <w:divBdr>
                        <w:top w:val="none" w:sz="0" w:space="0" w:color="auto"/>
                        <w:left w:val="none" w:sz="0" w:space="0" w:color="auto"/>
                        <w:bottom w:val="none" w:sz="0" w:space="0" w:color="auto"/>
                        <w:right w:val="none" w:sz="0" w:space="0" w:color="auto"/>
                      </w:divBdr>
                    </w:div>
                  </w:divsChild>
                </w:div>
                <w:div w:id="1467115907">
                  <w:marLeft w:val="0"/>
                  <w:marRight w:val="0"/>
                  <w:marTop w:val="0"/>
                  <w:marBottom w:val="0"/>
                  <w:divBdr>
                    <w:top w:val="none" w:sz="0" w:space="0" w:color="auto"/>
                    <w:left w:val="none" w:sz="0" w:space="0" w:color="auto"/>
                    <w:bottom w:val="none" w:sz="0" w:space="0" w:color="auto"/>
                    <w:right w:val="none" w:sz="0" w:space="0" w:color="auto"/>
                  </w:divBdr>
                  <w:divsChild>
                    <w:div w:id="1719932802">
                      <w:marLeft w:val="0"/>
                      <w:marRight w:val="0"/>
                      <w:marTop w:val="0"/>
                      <w:marBottom w:val="0"/>
                      <w:divBdr>
                        <w:top w:val="none" w:sz="0" w:space="0" w:color="auto"/>
                        <w:left w:val="none" w:sz="0" w:space="0" w:color="auto"/>
                        <w:bottom w:val="none" w:sz="0" w:space="0" w:color="auto"/>
                        <w:right w:val="none" w:sz="0" w:space="0" w:color="auto"/>
                      </w:divBdr>
                    </w:div>
                    <w:div w:id="2017031172">
                      <w:marLeft w:val="0"/>
                      <w:marRight w:val="0"/>
                      <w:marTop w:val="0"/>
                      <w:marBottom w:val="0"/>
                      <w:divBdr>
                        <w:top w:val="none" w:sz="0" w:space="0" w:color="auto"/>
                        <w:left w:val="none" w:sz="0" w:space="0" w:color="auto"/>
                        <w:bottom w:val="none" w:sz="0" w:space="0" w:color="auto"/>
                        <w:right w:val="none" w:sz="0" w:space="0" w:color="auto"/>
                      </w:divBdr>
                    </w:div>
                    <w:div w:id="1630935973">
                      <w:marLeft w:val="0"/>
                      <w:marRight w:val="0"/>
                      <w:marTop w:val="0"/>
                      <w:marBottom w:val="0"/>
                      <w:divBdr>
                        <w:top w:val="none" w:sz="0" w:space="0" w:color="auto"/>
                        <w:left w:val="none" w:sz="0" w:space="0" w:color="auto"/>
                        <w:bottom w:val="none" w:sz="0" w:space="0" w:color="auto"/>
                        <w:right w:val="none" w:sz="0" w:space="0" w:color="auto"/>
                      </w:divBdr>
                    </w:div>
                    <w:div w:id="533733003">
                      <w:marLeft w:val="0"/>
                      <w:marRight w:val="0"/>
                      <w:marTop w:val="0"/>
                      <w:marBottom w:val="0"/>
                      <w:divBdr>
                        <w:top w:val="none" w:sz="0" w:space="0" w:color="auto"/>
                        <w:left w:val="none" w:sz="0" w:space="0" w:color="auto"/>
                        <w:bottom w:val="none" w:sz="0" w:space="0" w:color="auto"/>
                        <w:right w:val="none" w:sz="0" w:space="0" w:color="auto"/>
                      </w:divBdr>
                    </w:div>
                    <w:div w:id="1506748074">
                      <w:marLeft w:val="0"/>
                      <w:marRight w:val="0"/>
                      <w:marTop w:val="0"/>
                      <w:marBottom w:val="0"/>
                      <w:divBdr>
                        <w:top w:val="none" w:sz="0" w:space="0" w:color="auto"/>
                        <w:left w:val="none" w:sz="0" w:space="0" w:color="auto"/>
                        <w:bottom w:val="none" w:sz="0" w:space="0" w:color="auto"/>
                        <w:right w:val="none" w:sz="0" w:space="0" w:color="auto"/>
                      </w:divBdr>
                    </w:div>
                  </w:divsChild>
                </w:div>
                <w:div w:id="439376139">
                  <w:marLeft w:val="0"/>
                  <w:marRight w:val="0"/>
                  <w:marTop w:val="0"/>
                  <w:marBottom w:val="0"/>
                  <w:divBdr>
                    <w:top w:val="none" w:sz="0" w:space="0" w:color="auto"/>
                    <w:left w:val="none" w:sz="0" w:space="0" w:color="auto"/>
                    <w:bottom w:val="none" w:sz="0" w:space="0" w:color="auto"/>
                    <w:right w:val="none" w:sz="0" w:space="0" w:color="auto"/>
                  </w:divBdr>
                  <w:divsChild>
                    <w:div w:id="1835292135">
                      <w:marLeft w:val="0"/>
                      <w:marRight w:val="0"/>
                      <w:marTop w:val="0"/>
                      <w:marBottom w:val="0"/>
                      <w:divBdr>
                        <w:top w:val="none" w:sz="0" w:space="0" w:color="auto"/>
                        <w:left w:val="none" w:sz="0" w:space="0" w:color="auto"/>
                        <w:bottom w:val="none" w:sz="0" w:space="0" w:color="auto"/>
                        <w:right w:val="none" w:sz="0" w:space="0" w:color="auto"/>
                      </w:divBdr>
                    </w:div>
                  </w:divsChild>
                </w:div>
                <w:div w:id="577207128">
                  <w:marLeft w:val="0"/>
                  <w:marRight w:val="0"/>
                  <w:marTop w:val="0"/>
                  <w:marBottom w:val="0"/>
                  <w:divBdr>
                    <w:top w:val="none" w:sz="0" w:space="0" w:color="auto"/>
                    <w:left w:val="none" w:sz="0" w:space="0" w:color="auto"/>
                    <w:bottom w:val="none" w:sz="0" w:space="0" w:color="auto"/>
                    <w:right w:val="none" w:sz="0" w:space="0" w:color="auto"/>
                  </w:divBdr>
                  <w:divsChild>
                    <w:div w:id="538710628">
                      <w:marLeft w:val="0"/>
                      <w:marRight w:val="0"/>
                      <w:marTop w:val="0"/>
                      <w:marBottom w:val="0"/>
                      <w:divBdr>
                        <w:top w:val="none" w:sz="0" w:space="0" w:color="auto"/>
                        <w:left w:val="none" w:sz="0" w:space="0" w:color="auto"/>
                        <w:bottom w:val="none" w:sz="0" w:space="0" w:color="auto"/>
                        <w:right w:val="none" w:sz="0" w:space="0" w:color="auto"/>
                      </w:divBdr>
                    </w:div>
                  </w:divsChild>
                </w:div>
                <w:div w:id="773600013">
                  <w:marLeft w:val="0"/>
                  <w:marRight w:val="0"/>
                  <w:marTop w:val="0"/>
                  <w:marBottom w:val="0"/>
                  <w:divBdr>
                    <w:top w:val="none" w:sz="0" w:space="0" w:color="auto"/>
                    <w:left w:val="none" w:sz="0" w:space="0" w:color="auto"/>
                    <w:bottom w:val="none" w:sz="0" w:space="0" w:color="auto"/>
                    <w:right w:val="none" w:sz="0" w:space="0" w:color="auto"/>
                  </w:divBdr>
                  <w:divsChild>
                    <w:div w:id="139688335">
                      <w:marLeft w:val="0"/>
                      <w:marRight w:val="0"/>
                      <w:marTop w:val="0"/>
                      <w:marBottom w:val="0"/>
                      <w:divBdr>
                        <w:top w:val="none" w:sz="0" w:space="0" w:color="auto"/>
                        <w:left w:val="none" w:sz="0" w:space="0" w:color="auto"/>
                        <w:bottom w:val="none" w:sz="0" w:space="0" w:color="auto"/>
                        <w:right w:val="none" w:sz="0" w:space="0" w:color="auto"/>
                      </w:divBdr>
                    </w:div>
                    <w:div w:id="276838816">
                      <w:marLeft w:val="0"/>
                      <w:marRight w:val="0"/>
                      <w:marTop w:val="0"/>
                      <w:marBottom w:val="0"/>
                      <w:divBdr>
                        <w:top w:val="none" w:sz="0" w:space="0" w:color="auto"/>
                        <w:left w:val="none" w:sz="0" w:space="0" w:color="auto"/>
                        <w:bottom w:val="none" w:sz="0" w:space="0" w:color="auto"/>
                        <w:right w:val="none" w:sz="0" w:space="0" w:color="auto"/>
                      </w:divBdr>
                    </w:div>
                    <w:div w:id="1071346500">
                      <w:marLeft w:val="0"/>
                      <w:marRight w:val="0"/>
                      <w:marTop w:val="0"/>
                      <w:marBottom w:val="0"/>
                      <w:divBdr>
                        <w:top w:val="none" w:sz="0" w:space="0" w:color="auto"/>
                        <w:left w:val="none" w:sz="0" w:space="0" w:color="auto"/>
                        <w:bottom w:val="none" w:sz="0" w:space="0" w:color="auto"/>
                        <w:right w:val="none" w:sz="0" w:space="0" w:color="auto"/>
                      </w:divBdr>
                    </w:div>
                  </w:divsChild>
                </w:div>
                <w:div w:id="1566527623">
                  <w:marLeft w:val="0"/>
                  <w:marRight w:val="0"/>
                  <w:marTop w:val="0"/>
                  <w:marBottom w:val="0"/>
                  <w:divBdr>
                    <w:top w:val="none" w:sz="0" w:space="0" w:color="auto"/>
                    <w:left w:val="none" w:sz="0" w:space="0" w:color="auto"/>
                    <w:bottom w:val="none" w:sz="0" w:space="0" w:color="auto"/>
                    <w:right w:val="none" w:sz="0" w:space="0" w:color="auto"/>
                  </w:divBdr>
                  <w:divsChild>
                    <w:div w:id="149563784">
                      <w:marLeft w:val="0"/>
                      <w:marRight w:val="0"/>
                      <w:marTop w:val="0"/>
                      <w:marBottom w:val="0"/>
                      <w:divBdr>
                        <w:top w:val="none" w:sz="0" w:space="0" w:color="auto"/>
                        <w:left w:val="none" w:sz="0" w:space="0" w:color="auto"/>
                        <w:bottom w:val="none" w:sz="0" w:space="0" w:color="auto"/>
                        <w:right w:val="none" w:sz="0" w:space="0" w:color="auto"/>
                      </w:divBdr>
                    </w:div>
                  </w:divsChild>
                </w:div>
                <w:div w:id="1371150686">
                  <w:marLeft w:val="0"/>
                  <w:marRight w:val="0"/>
                  <w:marTop w:val="0"/>
                  <w:marBottom w:val="0"/>
                  <w:divBdr>
                    <w:top w:val="none" w:sz="0" w:space="0" w:color="auto"/>
                    <w:left w:val="none" w:sz="0" w:space="0" w:color="auto"/>
                    <w:bottom w:val="none" w:sz="0" w:space="0" w:color="auto"/>
                    <w:right w:val="none" w:sz="0" w:space="0" w:color="auto"/>
                  </w:divBdr>
                  <w:divsChild>
                    <w:div w:id="1533230416">
                      <w:marLeft w:val="0"/>
                      <w:marRight w:val="0"/>
                      <w:marTop w:val="0"/>
                      <w:marBottom w:val="0"/>
                      <w:divBdr>
                        <w:top w:val="none" w:sz="0" w:space="0" w:color="auto"/>
                        <w:left w:val="none" w:sz="0" w:space="0" w:color="auto"/>
                        <w:bottom w:val="none" w:sz="0" w:space="0" w:color="auto"/>
                        <w:right w:val="none" w:sz="0" w:space="0" w:color="auto"/>
                      </w:divBdr>
                    </w:div>
                  </w:divsChild>
                </w:div>
                <w:div w:id="1600486447">
                  <w:marLeft w:val="0"/>
                  <w:marRight w:val="0"/>
                  <w:marTop w:val="0"/>
                  <w:marBottom w:val="0"/>
                  <w:divBdr>
                    <w:top w:val="none" w:sz="0" w:space="0" w:color="auto"/>
                    <w:left w:val="none" w:sz="0" w:space="0" w:color="auto"/>
                    <w:bottom w:val="none" w:sz="0" w:space="0" w:color="auto"/>
                    <w:right w:val="none" w:sz="0" w:space="0" w:color="auto"/>
                  </w:divBdr>
                  <w:divsChild>
                    <w:div w:id="1236671499">
                      <w:marLeft w:val="0"/>
                      <w:marRight w:val="0"/>
                      <w:marTop w:val="0"/>
                      <w:marBottom w:val="0"/>
                      <w:divBdr>
                        <w:top w:val="none" w:sz="0" w:space="0" w:color="auto"/>
                        <w:left w:val="none" w:sz="0" w:space="0" w:color="auto"/>
                        <w:bottom w:val="none" w:sz="0" w:space="0" w:color="auto"/>
                        <w:right w:val="none" w:sz="0" w:space="0" w:color="auto"/>
                      </w:divBdr>
                    </w:div>
                  </w:divsChild>
                </w:div>
                <w:div w:id="877939448">
                  <w:marLeft w:val="0"/>
                  <w:marRight w:val="0"/>
                  <w:marTop w:val="0"/>
                  <w:marBottom w:val="0"/>
                  <w:divBdr>
                    <w:top w:val="none" w:sz="0" w:space="0" w:color="auto"/>
                    <w:left w:val="none" w:sz="0" w:space="0" w:color="auto"/>
                    <w:bottom w:val="none" w:sz="0" w:space="0" w:color="auto"/>
                    <w:right w:val="none" w:sz="0" w:space="0" w:color="auto"/>
                  </w:divBdr>
                  <w:divsChild>
                    <w:div w:id="948509586">
                      <w:marLeft w:val="0"/>
                      <w:marRight w:val="0"/>
                      <w:marTop w:val="0"/>
                      <w:marBottom w:val="0"/>
                      <w:divBdr>
                        <w:top w:val="none" w:sz="0" w:space="0" w:color="auto"/>
                        <w:left w:val="none" w:sz="0" w:space="0" w:color="auto"/>
                        <w:bottom w:val="none" w:sz="0" w:space="0" w:color="auto"/>
                        <w:right w:val="none" w:sz="0" w:space="0" w:color="auto"/>
                      </w:divBdr>
                    </w:div>
                  </w:divsChild>
                </w:div>
                <w:div w:id="870337026">
                  <w:marLeft w:val="0"/>
                  <w:marRight w:val="0"/>
                  <w:marTop w:val="0"/>
                  <w:marBottom w:val="0"/>
                  <w:divBdr>
                    <w:top w:val="none" w:sz="0" w:space="0" w:color="auto"/>
                    <w:left w:val="none" w:sz="0" w:space="0" w:color="auto"/>
                    <w:bottom w:val="none" w:sz="0" w:space="0" w:color="auto"/>
                    <w:right w:val="none" w:sz="0" w:space="0" w:color="auto"/>
                  </w:divBdr>
                  <w:divsChild>
                    <w:div w:id="470094250">
                      <w:marLeft w:val="0"/>
                      <w:marRight w:val="0"/>
                      <w:marTop w:val="0"/>
                      <w:marBottom w:val="0"/>
                      <w:divBdr>
                        <w:top w:val="none" w:sz="0" w:space="0" w:color="auto"/>
                        <w:left w:val="none" w:sz="0" w:space="0" w:color="auto"/>
                        <w:bottom w:val="none" w:sz="0" w:space="0" w:color="auto"/>
                        <w:right w:val="none" w:sz="0" w:space="0" w:color="auto"/>
                      </w:divBdr>
                    </w:div>
                  </w:divsChild>
                </w:div>
                <w:div w:id="1230923417">
                  <w:marLeft w:val="0"/>
                  <w:marRight w:val="0"/>
                  <w:marTop w:val="0"/>
                  <w:marBottom w:val="0"/>
                  <w:divBdr>
                    <w:top w:val="none" w:sz="0" w:space="0" w:color="auto"/>
                    <w:left w:val="none" w:sz="0" w:space="0" w:color="auto"/>
                    <w:bottom w:val="none" w:sz="0" w:space="0" w:color="auto"/>
                    <w:right w:val="none" w:sz="0" w:space="0" w:color="auto"/>
                  </w:divBdr>
                  <w:divsChild>
                    <w:div w:id="1139416040">
                      <w:marLeft w:val="0"/>
                      <w:marRight w:val="0"/>
                      <w:marTop w:val="0"/>
                      <w:marBottom w:val="0"/>
                      <w:divBdr>
                        <w:top w:val="none" w:sz="0" w:space="0" w:color="auto"/>
                        <w:left w:val="none" w:sz="0" w:space="0" w:color="auto"/>
                        <w:bottom w:val="none" w:sz="0" w:space="0" w:color="auto"/>
                        <w:right w:val="none" w:sz="0" w:space="0" w:color="auto"/>
                      </w:divBdr>
                    </w:div>
                    <w:div w:id="512766656">
                      <w:marLeft w:val="0"/>
                      <w:marRight w:val="0"/>
                      <w:marTop w:val="0"/>
                      <w:marBottom w:val="0"/>
                      <w:divBdr>
                        <w:top w:val="none" w:sz="0" w:space="0" w:color="auto"/>
                        <w:left w:val="none" w:sz="0" w:space="0" w:color="auto"/>
                        <w:bottom w:val="none" w:sz="0" w:space="0" w:color="auto"/>
                        <w:right w:val="none" w:sz="0" w:space="0" w:color="auto"/>
                      </w:divBdr>
                    </w:div>
                    <w:div w:id="347757446">
                      <w:marLeft w:val="0"/>
                      <w:marRight w:val="0"/>
                      <w:marTop w:val="0"/>
                      <w:marBottom w:val="0"/>
                      <w:divBdr>
                        <w:top w:val="none" w:sz="0" w:space="0" w:color="auto"/>
                        <w:left w:val="none" w:sz="0" w:space="0" w:color="auto"/>
                        <w:bottom w:val="none" w:sz="0" w:space="0" w:color="auto"/>
                        <w:right w:val="none" w:sz="0" w:space="0" w:color="auto"/>
                      </w:divBdr>
                    </w:div>
                    <w:div w:id="1331329475">
                      <w:marLeft w:val="0"/>
                      <w:marRight w:val="0"/>
                      <w:marTop w:val="0"/>
                      <w:marBottom w:val="0"/>
                      <w:divBdr>
                        <w:top w:val="none" w:sz="0" w:space="0" w:color="auto"/>
                        <w:left w:val="none" w:sz="0" w:space="0" w:color="auto"/>
                        <w:bottom w:val="none" w:sz="0" w:space="0" w:color="auto"/>
                        <w:right w:val="none" w:sz="0" w:space="0" w:color="auto"/>
                      </w:divBdr>
                    </w:div>
                  </w:divsChild>
                </w:div>
                <w:div w:id="1025599757">
                  <w:marLeft w:val="0"/>
                  <w:marRight w:val="0"/>
                  <w:marTop w:val="0"/>
                  <w:marBottom w:val="0"/>
                  <w:divBdr>
                    <w:top w:val="none" w:sz="0" w:space="0" w:color="auto"/>
                    <w:left w:val="none" w:sz="0" w:space="0" w:color="auto"/>
                    <w:bottom w:val="none" w:sz="0" w:space="0" w:color="auto"/>
                    <w:right w:val="none" w:sz="0" w:space="0" w:color="auto"/>
                  </w:divBdr>
                  <w:divsChild>
                    <w:div w:id="533465060">
                      <w:marLeft w:val="0"/>
                      <w:marRight w:val="0"/>
                      <w:marTop w:val="0"/>
                      <w:marBottom w:val="0"/>
                      <w:divBdr>
                        <w:top w:val="none" w:sz="0" w:space="0" w:color="auto"/>
                        <w:left w:val="none" w:sz="0" w:space="0" w:color="auto"/>
                        <w:bottom w:val="none" w:sz="0" w:space="0" w:color="auto"/>
                        <w:right w:val="none" w:sz="0" w:space="0" w:color="auto"/>
                      </w:divBdr>
                    </w:div>
                  </w:divsChild>
                </w:div>
                <w:div w:id="1774323359">
                  <w:marLeft w:val="0"/>
                  <w:marRight w:val="0"/>
                  <w:marTop w:val="0"/>
                  <w:marBottom w:val="0"/>
                  <w:divBdr>
                    <w:top w:val="none" w:sz="0" w:space="0" w:color="auto"/>
                    <w:left w:val="none" w:sz="0" w:space="0" w:color="auto"/>
                    <w:bottom w:val="none" w:sz="0" w:space="0" w:color="auto"/>
                    <w:right w:val="none" w:sz="0" w:space="0" w:color="auto"/>
                  </w:divBdr>
                  <w:divsChild>
                    <w:div w:id="739256491">
                      <w:marLeft w:val="0"/>
                      <w:marRight w:val="0"/>
                      <w:marTop w:val="0"/>
                      <w:marBottom w:val="0"/>
                      <w:divBdr>
                        <w:top w:val="none" w:sz="0" w:space="0" w:color="auto"/>
                        <w:left w:val="none" w:sz="0" w:space="0" w:color="auto"/>
                        <w:bottom w:val="none" w:sz="0" w:space="0" w:color="auto"/>
                        <w:right w:val="none" w:sz="0" w:space="0" w:color="auto"/>
                      </w:divBdr>
                    </w:div>
                    <w:div w:id="822547937">
                      <w:marLeft w:val="0"/>
                      <w:marRight w:val="0"/>
                      <w:marTop w:val="0"/>
                      <w:marBottom w:val="0"/>
                      <w:divBdr>
                        <w:top w:val="none" w:sz="0" w:space="0" w:color="auto"/>
                        <w:left w:val="none" w:sz="0" w:space="0" w:color="auto"/>
                        <w:bottom w:val="none" w:sz="0" w:space="0" w:color="auto"/>
                        <w:right w:val="none" w:sz="0" w:space="0" w:color="auto"/>
                      </w:divBdr>
                    </w:div>
                  </w:divsChild>
                </w:div>
                <w:div w:id="2114860969">
                  <w:marLeft w:val="0"/>
                  <w:marRight w:val="0"/>
                  <w:marTop w:val="0"/>
                  <w:marBottom w:val="0"/>
                  <w:divBdr>
                    <w:top w:val="none" w:sz="0" w:space="0" w:color="auto"/>
                    <w:left w:val="none" w:sz="0" w:space="0" w:color="auto"/>
                    <w:bottom w:val="none" w:sz="0" w:space="0" w:color="auto"/>
                    <w:right w:val="none" w:sz="0" w:space="0" w:color="auto"/>
                  </w:divBdr>
                  <w:divsChild>
                    <w:div w:id="322585409">
                      <w:marLeft w:val="0"/>
                      <w:marRight w:val="0"/>
                      <w:marTop w:val="0"/>
                      <w:marBottom w:val="0"/>
                      <w:divBdr>
                        <w:top w:val="none" w:sz="0" w:space="0" w:color="auto"/>
                        <w:left w:val="none" w:sz="0" w:space="0" w:color="auto"/>
                        <w:bottom w:val="none" w:sz="0" w:space="0" w:color="auto"/>
                        <w:right w:val="none" w:sz="0" w:space="0" w:color="auto"/>
                      </w:divBdr>
                    </w:div>
                    <w:div w:id="1027827445">
                      <w:marLeft w:val="0"/>
                      <w:marRight w:val="0"/>
                      <w:marTop w:val="0"/>
                      <w:marBottom w:val="0"/>
                      <w:divBdr>
                        <w:top w:val="none" w:sz="0" w:space="0" w:color="auto"/>
                        <w:left w:val="none" w:sz="0" w:space="0" w:color="auto"/>
                        <w:bottom w:val="none" w:sz="0" w:space="0" w:color="auto"/>
                        <w:right w:val="none" w:sz="0" w:space="0" w:color="auto"/>
                      </w:divBdr>
                    </w:div>
                    <w:div w:id="1574706253">
                      <w:marLeft w:val="0"/>
                      <w:marRight w:val="0"/>
                      <w:marTop w:val="0"/>
                      <w:marBottom w:val="0"/>
                      <w:divBdr>
                        <w:top w:val="none" w:sz="0" w:space="0" w:color="auto"/>
                        <w:left w:val="none" w:sz="0" w:space="0" w:color="auto"/>
                        <w:bottom w:val="none" w:sz="0" w:space="0" w:color="auto"/>
                        <w:right w:val="none" w:sz="0" w:space="0" w:color="auto"/>
                      </w:divBdr>
                    </w:div>
                    <w:div w:id="1425612605">
                      <w:marLeft w:val="0"/>
                      <w:marRight w:val="0"/>
                      <w:marTop w:val="0"/>
                      <w:marBottom w:val="0"/>
                      <w:divBdr>
                        <w:top w:val="none" w:sz="0" w:space="0" w:color="auto"/>
                        <w:left w:val="none" w:sz="0" w:space="0" w:color="auto"/>
                        <w:bottom w:val="none" w:sz="0" w:space="0" w:color="auto"/>
                        <w:right w:val="none" w:sz="0" w:space="0" w:color="auto"/>
                      </w:divBdr>
                    </w:div>
                    <w:div w:id="1933008239">
                      <w:marLeft w:val="0"/>
                      <w:marRight w:val="0"/>
                      <w:marTop w:val="0"/>
                      <w:marBottom w:val="0"/>
                      <w:divBdr>
                        <w:top w:val="none" w:sz="0" w:space="0" w:color="auto"/>
                        <w:left w:val="none" w:sz="0" w:space="0" w:color="auto"/>
                        <w:bottom w:val="none" w:sz="0" w:space="0" w:color="auto"/>
                        <w:right w:val="none" w:sz="0" w:space="0" w:color="auto"/>
                      </w:divBdr>
                    </w:div>
                    <w:div w:id="2139443909">
                      <w:marLeft w:val="0"/>
                      <w:marRight w:val="0"/>
                      <w:marTop w:val="0"/>
                      <w:marBottom w:val="0"/>
                      <w:divBdr>
                        <w:top w:val="none" w:sz="0" w:space="0" w:color="auto"/>
                        <w:left w:val="none" w:sz="0" w:space="0" w:color="auto"/>
                        <w:bottom w:val="none" w:sz="0" w:space="0" w:color="auto"/>
                        <w:right w:val="none" w:sz="0" w:space="0" w:color="auto"/>
                      </w:divBdr>
                    </w:div>
                  </w:divsChild>
                </w:div>
                <w:div w:id="72817978">
                  <w:marLeft w:val="0"/>
                  <w:marRight w:val="0"/>
                  <w:marTop w:val="0"/>
                  <w:marBottom w:val="0"/>
                  <w:divBdr>
                    <w:top w:val="none" w:sz="0" w:space="0" w:color="auto"/>
                    <w:left w:val="none" w:sz="0" w:space="0" w:color="auto"/>
                    <w:bottom w:val="none" w:sz="0" w:space="0" w:color="auto"/>
                    <w:right w:val="none" w:sz="0" w:space="0" w:color="auto"/>
                  </w:divBdr>
                  <w:divsChild>
                    <w:div w:id="1957056905">
                      <w:marLeft w:val="0"/>
                      <w:marRight w:val="0"/>
                      <w:marTop w:val="0"/>
                      <w:marBottom w:val="0"/>
                      <w:divBdr>
                        <w:top w:val="none" w:sz="0" w:space="0" w:color="auto"/>
                        <w:left w:val="none" w:sz="0" w:space="0" w:color="auto"/>
                        <w:bottom w:val="none" w:sz="0" w:space="0" w:color="auto"/>
                        <w:right w:val="none" w:sz="0" w:space="0" w:color="auto"/>
                      </w:divBdr>
                    </w:div>
                  </w:divsChild>
                </w:div>
                <w:div w:id="369502524">
                  <w:marLeft w:val="0"/>
                  <w:marRight w:val="0"/>
                  <w:marTop w:val="0"/>
                  <w:marBottom w:val="0"/>
                  <w:divBdr>
                    <w:top w:val="none" w:sz="0" w:space="0" w:color="auto"/>
                    <w:left w:val="none" w:sz="0" w:space="0" w:color="auto"/>
                    <w:bottom w:val="none" w:sz="0" w:space="0" w:color="auto"/>
                    <w:right w:val="none" w:sz="0" w:space="0" w:color="auto"/>
                  </w:divBdr>
                  <w:divsChild>
                    <w:div w:id="1497191179">
                      <w:marLeft w:val="0"/>
                      <w:marRight w:val="0"/>
                      <w:marTop w:val="0"/>
                      <w:marBottom w:val="0"/>
                      <w:divBdr>
                        <w:top w:val="none" w:sz="0" w:space="0" w:color="auto"/>
                        <w:left w:val="none" w:sz="0" w:space="0" w:color="auto"/>
                        <w:bottom w:val="none" w:sz="0" w:space="0" w:color="auto"/>
                        <w:right w:val="none" w:sz="0" w:space="0" w:color="auto"/>
                      </w:divBdr>
                    </w:div>
                    <w:div w:id="1962346177">
                      <w:marLeft w:val="0"/>
                      <w:marRight w:val="0"/>
                      <w:marTop w:val="0"/>
                      <w:marBottom w:val="0"/>
                      <w:divBdr>
                        <w:top w:val="none" w:sz="0" w:space="0" w:color="auto"/>
                        <w:left w:val="none" w:sz="0" w:space="0" w:color="auto"/>
                        <w:bottom w:val="none" w:sz="0" w:space="0" w:color="auto"/>
                        <w:right w:val="none" w:sz="0" w:space="0" w:color="auto"/>
                      </w:divBdr>
                    </w:div>
                  </w:divsChild>
                </w:div>
                <w:div w:id="1094787368">
                  <w:marLeft w:val="0"/>
                  <w:marRight w:val="0"/>
                  <w:marTop w:val="0"/>
                  <w:marBottom w:val="0"/>
                  <w:divBdr>
                    <w:top w:val="none" w:sz="0" w:space="0" w:color="auto"/>
                    <w:left w:val="none" w:sz="0" w:space="0" w:color="auto"/>
                    <w:bottom w:val="none" w:sz="0" w:space="0" w:color="auto"/>
                    <w:right w:val="none" w:sz="0" w:space="0" w:color="auto"/>
                  </w:divBdr>
                  <w:divsChild>
                    <w:div w:id="1698004795">
                      <w:marLeft w:val="0"/>
                      <w:marRight w:val="0"/>
                      <w:marTop w:val="0"/>
                      <w:marBottom w:val="0"/>
                      <w:divBdr>
                        <w:top w:val="none" w:sz="0" w:space="0" w:color="auto"/>
                        <w:left w:val="none" w:sz="0" w:space="0" w:color="auto"/>
                        <w:bottom w:val="none" w:sz="0" w:space="0" w:color="auto"/>
                        <w:right w:val="none" w:sz="0" w:space="0" w:color="auto"/>
                      </w:divBdr>
                    </w:div>
                    <w:div w:id="988049929">
                      <w:marLeft w:val="0"/>
                      <w:marRight w:val="0"/>
                      <w:marTop w:val="0"/>
                      <w:marBottom w:val="0"/>
                      <w:divBdr>
                        <w:top w:val="none" w:sz="0" w:space="0" w:color="auto"/>
                        <w:left w:val="none" w:sz="0" w:space="0" w:color="auto"/>
                        <w:bottom w:val="none" w:sz="0" w:space="0" w:color="auto"/>
                        <w:right w:val="none" w:sz="0" w:space="0" w:color="auto"/>
                      </w:divBdr>
                    </w:div>
                    <w:div w:id="2100523959">
                      <w:marLeft w:val="0"/>
                      <w:marRight w:val="0"/>
                      <w:marTop w:val="0"/>
                      <w:marBottom w:val="0"/>
                      <w:divBdr>
                        <w:top w:val="none" w:sz="0" w:space="0" w:color="auto"/>
                        <w:left w:val="none" w:sz="0" w:space="0" w:color="auto"/>
                        <w:bottom w:val="none" w:sz="0" w:space="0" w:color="auto"/>
                        <w:right w:val="none" w:sz="0" w:space="0" w:color="auto"/>
                      </w:divBdr>
                    </w:div>
                    <w:div w:id="1874147334">
                      <w:marLeft w:val="0"/>
                      <w:marRight w:val="0"/>
                      <w:marTop w:val="0"/>
                      <w:marBottom w:val="0"/>
                      <w:divBdr>
                        <w:top w:val="none" w:sz="0" w:space="0" w:color="auto"/>
                        <w:left w:val="none" w:sz="0" w:space="0" w:color="auto"/>
                        <w:bottom w:val="none" w:sz="0" w:space="0" w:color="auto"/>
                        <w:right w:val="none" w:sz="0" w:space="0" w:color="auto"/>
                      </w:divBdr>
                    </w:div>
                    <w:div w:id="1391148194">
                      <w:marLeft w:val="0"/>
                      <w:marRight w:val="0"/>
                      <w:marTop w:val="0"/>
                      <w:marBottom w:val="0"/>
                      <w:divBdr>
                        <w:top w:val="none" w:sz="0" w:space="0" w:color="auto"/>
                        <w:left w:val="none" w:sz="0" w:space="0" w:color="auto"/>
                        <w:bottom w:val="none" w:sz="0" w:space="0" w:color="auto"/>
                        <w:right w:val="none" w:sz="0" w:space="0" w:color="auto"/>
                      </w:divBdr>
                    </w:div>
                    <w:div w:id="1009526495">
                      <w:marLeft w:val="0"/>
                      <w:marRight w:val="0"/>
                      <w:marTop w:val="0"/>
                      <w:marBottom w:val="0"/>
                      <w:divBdr>
                        <w:top w:val="none" w:sz="0" w:space="0" w:color="auto"/>
                        <w:left w:val="none" w:sz="0" w:space="0" w:color="auto"/>
                        <w:bottom w:val="none" w:sz="0" w:space="0" w:color="auto"/>
                        <w:right w:val="none" w:sz="0" w:space="0" w:color="auto"/>
                      </w:divBdr>
                    </w:div>
                  </w:divsChild>
                </w:div>
                <w:div w:id="603810613">
                  <w:marLeft w:val="0"/>
                  <w:marRight w:val="0"/>
                  <w:marTop w:val="0"/>
                  <w:marBottom w:val="0"/>
                  <w:divBdr>
                    <w:top w:val="none" w:sz="0" w:space="0" w:color="auto"/>
                    <w:left w:val="none" w:sz="0" w:space="0" w:color="auto"/>
                    <w:bottom w:val="none" w:sz="0" w:space="0" w:color="auto"/>
                    <w:right w:val="none" w:sz="0" w:space="0" w:color="auto"/>
                  </w:divBdr>
                  <w:divsChild>
                    <w:div w:id="265312436">
                      <w:marLeft w:val="0"/>
                      <w:marRight w:val="0"/>
                      <w:marTop w:val="0"/>
                      <w:marBottom w:val="0"/>
                      <w:divBdr>
                        <w:top w:val="none" w:sz="0" w:space="0" w:color="auto"/>
                        <w:left w:val="none" w:sz="0" w:space="0" w:color="auto"/>
                        <w:bottom w:val="none" w:sz="0" w:space="0" w:color="auto"/>
                        <w:right w:val="none" w:sz="0" w:space="0" w:color="auto"/>
                      </w:divBdr>
                    </w:div>
                  </w:divsChild>
                </w:div>
                <w:div w:id="2107194396">
                  <w:marLeft w:val="0"/>
                  <w:marRight w:val="0"/>
                  <w:marTop w:val="0"/>
                  <w:marBottom w:val="0"/>
                  <w:divBdr>
                    <w:top w:val="none" w:sz="0" w:space="0" w:color="auto"/>
                    <w:left w:val="none" w:sz="0" w:space="0" w:color="auto"/>
                    <w:bottom w:val="none" w:sz="0" w:space="0" w:color="auto"/>
                    <w:right w:val="none" w:sz="0" w:space="0" w:color="auto"/>
                  </w:divBdr>
                  <w:divsChild>
                    <w:div w:id="1920863546">
                      <w:marLeft w:val="0"/>
                      <w:marRight w:val="0"/>
                      <w:marTop w:val="0"/>
                      <w:marBottom w:val="0"/>
                      <w:divBdr>
                        <w:top w:val="none" w:sz="0" w:space="0" w:color="auto"/>
                        <w:left w:val="none" w:sz="0" w:space="0" w:color="auto"/>
                        <w:bottom w:val="none" w:sz="0" w:space="0" w:color="auto"/>
                        <w:right w:val="none" w:sz="0" w:space="0" w:color="auto"/>
                      </w:divBdr>
                    </w:div>
                  </w:divsChild>
                </w:div>
                <w:div w:id="1127046325">
                  <w:marLeft w:val="0"/>
                  <w:marRight w:val="0"/>
                  <w:marTop w:val="0"/>
                  <w:marBottom w:val="0"/>
                  <w:divBdr>
                    <w:top w:val="none" w:sz="0" w:space="0" w:color="auto"/>
                    <w:left w:val="none" w:sz="0" w:space="0" w:color="auto"/>
                    <w:bottom w:val="none" w:sz="0" w:space="0" w:color="auto"/>
                    <w:right w:val="none" w:sz="0" w:space="0" w:color="auto"/>
                  </w:divBdr>
                  <w:divsChild>
                    <w:div w:id="602763319">
                      <w:marLeft w:val="0"/>
                      <w:marRight w:val="0"/>
                      <w:marTop w:val="0"/>
                      <w:marBottom w:val="0"/>
                      <w:divBdr>
                        <w:top w:val="none" w:sz="0" w:space="0" w:color="auto"/>
                        <w:left w:val="none" w:sz="0" w:space="0" w:color="auto"/>
                        <w:bottom w:val="none" w:sz="0" w:space="0" w:color="auto"/>
                        <w:right w:val="none" w:sz="0" w:space="0" w:color="auto"/>
                      </w:divBdr>
                    </w:div>
                    <w:div w:id="610285060">
                      <w:marLeft w:val="0"/>
                      <w:marRight w:val="0"/>
                      <w:marTop w:val="0"/>
                      <w:marBottom w:val="0"/>
                      <w:divBdr>
                        <w:top w:val="none" w:sz="0" w:space="0" w:color="auto"/>
                        <w:left w:val="none" w:sz="0" w:space="0" w:color="auto"/>
                        <w:bottom w:val="none" w:sz="0" w:space="0" w:color="auto"/>
                        <w:right w:val="none" w:sz="0" w:space="0" w:color="auto"/>
                      </w:divBdr>
                    </w:div>
                    <w:div w:id="1559321386">
                      <w:marLeft w:val="0"/>
                      <w:marRight w:val="0"/>
                      <w:marTop w:val="0"/>
                      <w:marBottom w:val="0"/>
                      <w:divBdr>
                        <w:top w:val="none" w:sz="0" w:space="0" w:color="auto"/>
                        <w:left w:val="none" w:sz="0" w:space="0" w:color="auto"/>
                        <w:bottom w:val="none" w:sz="0" w:space="0" w:color="auto"/>
                        <w:right w:val="none" w:sz="0" w:space="0" w:color="auto"/>
                      </w:divBdr>
                    </w:div>
                    <w:div w:id="254092033">
                      <w:marLeft w:val="0"/>
                      <w:marRight w:val="0"/>
                      <w:marTop w:val="0"/>
                      <w:marBottom w:val="0"/>
                      <w:divBdr>
                        <w:top w:val="none" w:sz="0" w:space="0" w:color="auto"/>
                        <w:left w:val="none" w:sz="0" w:space="0" w:color="auto"/>
                        <w:bottom w:val="none" w:sz="0" w:space="0" w:color="auto"/>
                        <w:right w:val="none" w:sz="0" w:space="0" w:color="auto"/>
                      </w:divBdr>
                    </w:div>
                    <w:div w:id="1747848346">
                      <w:marLeft w:val="0"/>
                      <w:marRight w:val="0"/>
                      <w:marTop w:val="0"/>
                      <w:marBottom w:val="0"/>
                      <w:divBdr>
                        <w:top w:val="none" w:sz="0" w:space="0" w:color="auto"/>
                        <w:left w:val="none" w:sz="0" w:space="0" w:color="auto"/>
                        <w:bottom w:val="none" w:sz="0" w:space="0" w:color="auto"/>
                        <w:right w:val="none" w:sz="0" w:space="0" w:color="auto"/>
                      </w:divBdr>
                    </w:div>
                    <w:div w:id="2092071843">
                      <w:marLeft w:val="0"/>
                      <w:marRight w:val="0"/>
                      <w:marTop w:val="0"/>
                      <w:marBottom w:val="0"/>
                      <w:divBdr>
                        <w:top w:val="none" w:sz="0" w:space="0" w:color="auto"/>
                        <w:left w:val="none" w:sz="0" w:space="0" w:color="auto"/>
                        <w:bottom w:val="none" w:sz="0" w:space="0" w:color="auto"/>
                        <w:right w:val="none" w:sz="0" w:space="0" w:color="auto"/>
                      </w:divBdr>
                    </w:div>
                  </w:divsChild>
                </w:div>
                <w:div w:id="288753831">
                  <w:marLeft w:val="0"/>
                  <w:marRight w:val="0"/>
                  <w:marTop w:val="0"/>
                  <w:marBottom w:val="0"/>
                  <w:divBdr>
                    <w:top w:val="none" w:sz="0" w:space="0" w:color="auto"/>
                    <w:left w:val="none" w:sz="0" w:space="0" w:color="auto"/>
                    <w:bottom w:val="none" w:sz="0" w:space="0" w:color="auto"/>
                    <w:right w:val="none" w:sz="0" w:space="0" w:color="auto"/>
                  </w:divBdr>
                  <w:divsChild>
                    <w:div w:id="850488438">
                      <w:marLeft w:val="0"/>
                      <w:marRight w:val="0"/>
                      <w:marTop w:val="0"/>
                      <w:marBottom w:val="0"/>
                      <w:divBdr>
                        <w:top w:val="none" w:sz="0" w:space="0" w:color="auto"/>
                        <w:left w:val="none" w:sz="0" w:space="0" w:color="auto"/>
                        <w:bottom w:val="none" w:sz="0" w:space="0" w:color="auto"/>
                        <w:right w:val="none" w:sz="0" w:space="0" w:color="auto"/>
                      </w:divBdr>
                    </w:div>
                  </w:divsChild>
                </w:div>
                <w:div w:id="1551843535">
                  <w:marLeft w:val="0"/>
                  <w:marRight w:val="0"/>
                  <w:marTop w:val="0"/>
                  <w:marBottom w:val="0"/>
                  <w:divBdr>
                    <w:top w:val="none" w:sz="0" w:space="0" w:color="auto"/>
                    <w:left w:val="none" w:sz="0" w:space="0" w:color="auto"/>
                    <w:bottom w:val="none" w:sz="0" w:space="0" w:color="auto"/>
                    <w:right w:val="none" w:sz="0" w:space="0" w:color="auto"/>
                  </w:divBdr>
                  <w:divsChild>
                    <w:div w:id="190146092">
                      <w:marLeft w:val="0"/>
                      <w:marRight w:val="0"/>
                      <w:marTop w:val="0"/>
                      <w:marBottom w:val="0"/>
                      <w:divBdr>
                        <w:top w:val="none" w:sz="0" w:space="0" w:color="auto"/>
                        <w:left w:val="none" w:sz="0" w:space="0" w:color="auto"/>
                        <w:bottom w:val="none" w:sz="0" w:space="0" w:color="auto"/>
                        <w:right w:val="none" w:sz="0" w:space="0" w:color="auto"/>
                      </w:divBdr>
                    </w:div>
                  </w:divsChild>
                </w:div>
                <w:div w:id="1180041581">
                  <w:marLeft w:val="0"/>
                  <w:marRight w:val="0"/>
                  <w:marTop w:val="0"/>
                  <w:marBottom w:val="0"/>
                  <w:divBdr>
                    <w:top w:val="none" w:sz="0" w:space="0" w:color="auto"/>
                    <w:left w:val="none" w:sz="0" w:space="0" w:color="auto"/>
                    <w:bottom w:val="none" w:sz="0" w:space="0" w:color="auto"/>
                    <w:right w:val="none" w:sz="0" w:space="0" w:color="auto"/>
                  </w:divBdr>
                  <w:divsChild>
                    <w:div w:id="1620136870">
                      <w:marLeft w:val="0"/>
                      <w:marRight w:val="0"/>
                      <w:marTop w:val="0"/>
                      <w:marBottom w:val="0"/>
                      <w:divBdr>
                        <w:top w:val="none" w:sz="0" w:space="0" w:color="auto"/>
                        <w:left w:val="none" w:sz="0" w:space="0" w:color="auto"/>
                        <w:bottom w:val="none" w:sz="0" w:space="0" w:color="auto"/>
                        <w:right w:val="none" w:sz="0" w:space="0" w:color="auto"/>
                      </w:divBdr>
                    </w:div>
                    <w:div w:id="953514581">
                      <w:marLeft w:val="0"/>
                      <w:marRight w:val="0"/>
                      <w:marTop w:val="0"/>
                      <w:marBottom w:val="0"/>
                      <w:divBdr>
                        <w:top w:val="none" w:sz="0" w:space="0" w:color="auto"/>
                        <w:left w:val="none" w:sz="0" w:space="0" w:color="auto"/>
                        <w:bottom w:val="none" w:sz="0" w:space="0" w:color="auto"/>
                        <w:right w:val="none" w:sz="0" w:space="0" w:color="auto"/>
                      </w:divBdr>
                    </w:div>
                    <w:div w:id="1253901205">
                      <w:marLeft w:val="0"/>
                      <w:marRight w:val="0"/>
                      <w:marTop w:val="0"/>
                      <w:marBottom w:val="0"/>
                      <w:divBdr>
                        <w:top w:val="none" w:sz="0" w:space="0" w:color="auto"/>
                        <w:left w:val="none" w:sz="0" w:space="0" w:color="auto"/>
                        <w:bottom w:val="none" w:sz="0" w:space="0" w:color="auto"/>
                        <w:right w:val="none" w:sz="0" w:space="0" w:color="auto"/>
                      </w:divBdr>
                    </w:div>
                    <w:div w:id="1781408652">
                      <w:marLeft w:val="0"/>
                      <w:marRight w:val="0"/>
                      <w:marTop w:val="0"/>
                      <w:marBottom w:val="0"/>
                      <w:divBdr>
                        <w:top w:val="none" w:sz="0" w:space="0" w:color="auto"/>
                        <w:left w:val="none" w:sz="0" w:space="0" w:color="auto"/>
                        <w:bottom w:val="none" w:sz="0" w:space="0" w:color="auto"/>
                        <w:right w:val="none" w:sz="0" w:space="0" w:color="auto"/>
                      </w:divBdr>
                    </w:div>
                    <w:div w:id="13882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611045">
          <w:marLeft w:val="0"/>
          <w:marRight w:val="0"/>
          <w:marTop w:val="0"/>
          <w:marBottom w:val="0"/>
          <w:divBdr>
            <w:top w:val="none" w:sz="0" w:space="0" w:color="auto"/>
            <w:left w:val="none" w:sz="0" w:space="0" w:color="auto"/>
            <w:bottom w:val="none" w:sz="0" w:space="0" w:color="auto"/>
            <w:right w:val="none" w:sz="0" w:space="0" w:color="auto"/>
          </w:divBdr>
        </w:div>
        <w:div w:id="1205799891">
          <w:marLeft w:val="0"/>
          <w:marRight w:val="0"/>
          <w:marTop w:val="0"/>
          <w:marBottom w:val="0"/>
          <w:divBdr>
            <w:top w:val="none" w:sz="0" w:space="0" w:color="auto"/>
            <w:left w:val="none" w:sz="0" w:space="0" w:color="auto"/>
            <w:bottom w:val="none" w:sz="0" w:space="0" w:color="auto"/>
            <w:right w:val="none" w:sz="0" w:space="0" w:color="auto"/>
          </w:divBdr>
        </w:div>
        <w:div w:id="835728934">
          <w:marLeft w:val="0"/>
          <w:marRight w:val="0"/>
          <w:marTop w:val="0"/>
          <w:marBottom w:val="0"/>
          <w:divBdr>
            <w:top w:val="none" w:sz="0" w:space="0" w:color="auto"/>
            <w:left w:val="none" w:sz="0" w:space="0" w:color="auto"/>
            <w:bottom w:val="none" w:sz="0" w:space="0" w:color="auto"/>
            <w:right w:val="none" w:sz="0" w:space="0" w:color="auto"/>
          </w:divBdr>
        </w:div>
        <w:div w:id="1770077234">
          <w:marLeft w:val="0"/>
          <w:marRight w:val="0"/>
          <w:marTop w:val="0"/>
          <w:marBottom w:val="0"/>
          <w:divBdr>
            <w:top w:val="none" w:sz="0" w:space="0" w:color="auto"/>
            <w:left w:val="none" w:sz="0" w:space="0" w:color="auto"/>
            <w:bottom w:val="none" w:sz="0" w:space="0" w:color="auto"/>
            <w:right w:val="none" w:sz="0" w:space="0" w:color="auto"/>
          </w:divBdr>
        </w:div>
        <w:div w:id="1723751916">
          <w:marLeft w:val="0"/>
          <w:marRight w:val="0"/>
          <w:marTop w:val="0"/>
          <w:marBottom w:val="0"/>
          <w:divBdr>
            <w:top w:val="none" w:sz="0" w:space="0" w:color="auto"/>
            <w:left w:val="none" w:sz="0" w:space="0" w:color="auto"/>
            <w:bottom w:val="none" w:sz="0" w:space="0" w:color="auto"/>
            <w:right w:val="none" w:sz="0" w:space="0" w:color="auto"/>
          </w:divBdr>
        </w:div>
        <w:div w:id="908223586">
          <w:marLeft w:val="0"/>
          <w:marRight w:val="0"/>
          <w:marTop w:val="0"/>
          <w:marBottom w:val="0"/>
          <w:divBdr>
            <w:top w:val="none" w:sz="0" w:space="0" w:color="auto"/>
            <w:left w:val="none" w:sz="0" w:space="0" w:color="auto"/>
            <w:bottom w:val="none" w:sz="0" w:space="0" w:color="auto"/>
            <w:right w:val="none" w:sz="0" w:space="0" w:color="auto"/>
          </w:divBdr>
          <w:divsChild>
            <w:div w:id="978849982">
              <w:marLeft w:val="0"/>
              <w:marRight w:val="0"/>
              <w:marTop w:val="0"/>
              <w:marBottom w:val="0"/>
              <w:divBdr>
                <w:top w:val="none" w:sz="0" w:space="0" w:color="auto"/>
                <w:left w:val="none" w:sz="0" w:space="0" w:color="auto"/>
                <w:bottom w:val="none" w:sz="0" w:space="0" w:color="auto"/>
                <w:right w:val="none" w:sz="0" w:space="0" w:color="auto"/>
              </w:divBdr>
            </w:div>
            <w:div w:id="1737707497">
              <w:marLeft w:val="0"/>
              <w:marRight w:val="0"/>
              <w:marTop w:val="0"/>
              <w:marBottom w:val="0"/>
              <w:divBdr>
                <w:top w:val="none" w:sz="0" w:space="0" w:color="auto"/>
                <w:left w:val="none" w:sz="0" w:space="0" w:color="auto"/>
                <w:bottom w:val="none" w:sz="0" w:space="0" w:color="auto"/>
                <w:right w:val="none" w:sz="0" w:space="0" w:color="auto"/>
              </w:divBdr>
            </w:div>
          </w:divsChild>
        </w:div>
        <w:div w:id="551775624">
          <w:marLeft w:val="0"/>
          <w:marRight w:val="0"/>
          <w:marTop w:val="0"/>
          <w:marBottom w:val="0"/>
          <w:divBdr>
            <w:top w:val="none" w:sz="0" w:space="0" w:color="auto"/>
            <w:left w:val="none" w:sz="0" w:space="0" w:color="auto"/>
            <w:bottom w:val="none" w:sz="0" w:space="0" w:color="auto"/>
            <w:right w:val="none" w:sz="0" w:space="0" w:color="auto"/>
          </w:divBdr>
          <w:divsChild>
            <w:div w:id="1312711481">
              <w:marLeft w:val="0"/>
              <w:marRight w:val="0"/>
              <w:marTop w:val="0"/>
              <w:marBottom w:val="0"/>
              <w:divBdr>
                <w:top w:val="none" w:sz="0" w:space="0" w:color="auto"/>
                <w:left w:val="none" w:sz="0" w:space="0" w:color="auto"/>
                <w:bottom w:val="none" w:sz="0" w:space="0" w:color="auto"/>
                <w:right w:val="none" w:sz="0" w:space="0" w:color="auto"/>
              </w:divBdr>
            </w:div>
          </w:divsChild>
        </w:div>
        <w:div w:id="1226113254">
          <w:marLeft w:val="0"/>
          <w:marRight w:val="0"/>
          <w:marTop w:val="0"/>
          <w:marBottom w:val="0"/>
          <w:divBdr>
            <w:top w:val="none" w:sz="0" w:space="0" w:color="auto"/>
            <w:left w:val="none" w:sz="0" w:space="0" w:color="auto"/>
            <w:bottom w:val="none" w:sz="0" w:space="0" w:color="auto"/>
            <w:right w:val="none" w:sz="0" w:space="0" w:color="auto"/>
          </w:divBdr>
          <w:divsChild>
            <w:div w:id="1937443144">
              <w:marLeft w:val="0"/>
              <w:marRight w:val="0"/>
              <w:marTop w:val="0"/>
              <w:marBottom w:val="0"/>
              <w:divBdr>
                <w:top w:val="none" w:sz="0" w:space="0" w:color="auto"/>
                <w:left w:val="none" w:sz="0" w:space="0" w:color="auto"/>
                <w:bottom w:val="none" w:sz="0" w:space="0" w:color="auto"/>
                <w:right w:val="none" w:sz="0" w:space="0" w:color="auto"/>
              </w:divBdr>
            </w:div>
            <w:div w:id="409281049">
              <w:marLeft w:val="0"/>
              <w:marRight w:val="0"/>
              <w:marTop w:val="0"/>
              <w:marBottom w:val="0"/>
              <w:divBdr>
                <w:top w:val="none" w:sz="0" w:space="0" w:color="auto"/>
                <w:left w:val="none" w:sz="0" w:space="0" w:color="auto"/>
                <w:bottom w:val="none" w:sz="0" w:space="0" w:color="auto"/>
                <w:right w:val="none" w:sz="0" w:space="0" w:color="auto"/>
              </w:divBdr>
            </w:div>
            <w:div w:id="814100964">
              <w:marLeft w:val="0"/>
              <w:marRight w:val="0"/>
              <w:marTop w:val="0"/>
              <w:marBottom w:val="0"/>
              <w:divBdr>
                <w:top w:val="none" w:sz="0" w:space="0" w:color="auto"/>
                <w:left w:val="none" w:sz="0" w:space="0" w:color="auto"/>
                <w:bottom w:val="none" w:sz="0" w:space="0" w:color="auto"/>
                <w:right w:val="none" w:sz="0" w:space="0" w:color="auto"/>
              </w:divBdr>
            </w:div>
            <w:div w:id="391076754">
              <w:marLeft w:val="0"/>
              <w:marRight w:val="0"/>
              <w:marTop w:val="0"/>
              <w:marBottom w:val="0"/>
              <w:divBdr>
                <w:top w:val="none" w:sz="0" w:space="0" w:color="auto"/>
                <w:left w:val="none" w:sz="0" w:space="0" w:color="auto"/>
                <w:bottom w:val="none" w:sz="0" w:space="0" w:color="auto"/>
                <w:right w:val="none" w:sz="0" w:space="0" w:color="auto"/>
              </w:divBdr>
            </w:div>
            <w:div w:id="132909982">
              <w:marLeft w:val="0"/>
              <w:marRight w:val="0"/>
              <w:marTop w:val="0"/>
              <w:marBottom w:val="0"/>
              <w:divBdr>
                <w:top w:val="none" w:sz="0" w:space="0" w:color="auto"/>
                <w:left w:val="none" w:sz="0" w:space="0" w:color="auto"/>
                <w:bottom w:val="none" w:sz="0" w:space="0" w:color="auto"/>
                <w:right w:val="none" w:sz="0" w:space="0" w:color="auto"/>
              </w:divBdr>
            </w:div>
          </w:divsChild>
        </w:div>
        <w:div w:id="1504738910">
          <w:marLeft w:val="0"/>
          <w:marRight w:val="0"/>
          <w:marTop w:val="0"/>
          <w:marBottom w:val="0"/>
          <w:divBdr>
            <w:top w:val="none" w:sz="0" w:space="0" w:color="auto"/>
            <w:left w:val="none" w:sz="0" w:space="0" w:color="auto"/>
            <w:bottom w:val="none" w:sz="0" w:space="0" w:color="auto"/>
            <w:right w:val="none" w:sz="0" w:space="0" w:color="auto"/>
          </w:divBdr>
          <w:divsChild>
            <w:div w:id="1312825321">
              <w:marLeft w:val="0"/>
              <w:marRight w:val="0"/>
              <w:marTop w:val="0"/>
              <w:marBottom w:val="0"/>
              <w:divBdr>
                <w:top w:val="none" w:sz="0" w:space="0" w:color="auto"/>
                <w:left w:val="none" w:sz="0" w:space="0" w:color="auto"/>
                <w:bottom w:val="none" w:sz="0" w:space="0" w:color="auto"/>
                <w:right w:val="none" w:sz="0" w:space="0" w:color="auto"/>
              </w:divBdr>
            </w:div>
            <w:div w:id="1279331856">
              <w:marLeft w:val="0"/>
              <w:marRight w:val="0"/>
              <w:marTop w:val="0"/>
              <w:marBottom w:val="0"/>
              <w:divBdr>
                <w:top w:val="none" w:sz="0" w:space="0" w:color="auto"/>
                <w:left w:val="none" w:sz="0" w:space="0" w:color="auto"/>
                <w:bottom w:val="none" w:sz="0" w:space="0" w:color="auto"/>
                <w:right w:val="none" w:sz="0" w:space="0" w:color="auto"/>
              </w:divBdr>
            </w:div>
            <w:div w:id="1242644583">
              <w:marLeft w:val="0"/>
              <w:marRight w:val="0"/>
              <w:marTop w:val="0"/>
              <w:marBottom w:val="0"/>
              <w:divBdr>
                <w:top w:val="none" w:sz="0" w:space="0" w:color="auto"/>
                <w:left w:val="none" w:sz="0" w:space="0" w:color="auto"/>
                <w:bottom w:val="none" w:sz="0" w:space="0" w:color="auto"/>
                <w:right w:val="none" w:sz="0" w:space="0" w:color="auto"/>
              </w:divBdr>
            </w:div>
          </w:divsChild>
        </w:div>
        <w:div w:id="147479720">
          <w:marLeft w:val="0"/>
          <w:marRight w:val="0"/>
          <w:marTop w:val="0"/>
          <w:marBottom w:val="0"/>
          <w:divBdr>
            <w:top w:val="none" w:sz="0" w:space="0" w:color="auto"/>
            <w:left w:val="none" w:sz="0" w:space="0" w:color="auto"/>
            <w:bottom w:val="none" w:sz="0" w:space="0" w:color="auto"/>
            <w:right w:val="none" w:sz="0" w:space="0" w:color="auto"/>
          </w:divBdr>
          <w:divsChild>
            <w:div w:id="163597618">
              <w:marLeft w:val="0"/>
              <w:marRight w:val="0"/>
              <w:marTop w:val="0"/>
              <w:marBottom w:val="0"/>
              <w:divBdr>
                <w:top w:val="none" w:sz="0" w:space="0" w:color="auto"/>
                <w:left w:val="none" w:sz="0" w:space="0" w:color="auto"/>
                <w:bottom w:val="none" w:sz="0" w:space="0" w:color="auto"/>
                <w:right w:val="none" w:sz="0" w:space="0" w:color="auto"/>
              </w:divBdr>
            </w:div>
            <w:div w:id="297688254">
              <w:marLeft w:val="0"/>
              <w:marRight w:val="0"/>
              <w:marTop w:val="0"/>
              <w:marBottom w:val="0"/>
              <w:divBdr>
                <w:top w:val="none" w:sz="0" w:space="0" w:color="auto"/>
                <w:left w:val="none" w:sz="0" w:space="0" w:color="auto"/>
                <w:bottom w:val="none" w:sz="0" w:space="0" w:color="auto"/>
                <w:right w:val="none" w:sz="0" w:space="0" w:color="auto"/>
              </w:divBdr>
            </w:div>
            <w:div w:id="1243418659">
              <w:marLeft w:val="0"/>
              <w:marRight w:val="0"/>
              <w:marTop w:val="0"/>
              <w:marBottom w:val="0"/>
              <w:divBdr>
                <w:top w:val="none" w:sz="0" w:space="0" w:color="auto"/>
                <w:left w:val="none" w:sz="0" w:space="0" w:color="auto"/>
                <w:bottom w:val="none" w:sz="0" w:space="0" w:color="auto"/>
                <w:right w:val="none" w:sz="0" w:space="0" w:color="auto"/>
              </w:divBdr>
            </w:div>
            <w:div w:id="2140102126">
              <w:marLeft w:val="0"/>
              <w:marRight w:val="0"/>
              <w:marTop w:val="0"/>
              <w:marBottom w:val="0"/>
              <w:divBdr>
                <w:top w:val="none" w:sz="0" w:space="0" w:color="auto"/>
                <w:left w:val="none" w:sz="0" w:space="0" w:color="auto"/>
                <w:bottom w:val="none" w:sz="0" w:space="0" w:color="auto"/>
                <w:right w:val="none" w:sz="0" w:space="0" w:color="auto"/>
              </w:divBdr>
            </w:div>
            <w:div w:id="308216782">
              <w:marLeft w:val="0"/>
              <w:marRight w:val="0"/>
              <w:marTop w:val="0"/>
              <w:marBottom w:val="0"/>
              <w:divBdr>
                <w:top w:val="none" w:sz="0" w:space="0" w:color="auto"/>
                <w:left w:val="none" w:sz="0" w:space="0" w:color="auto"/>
                <w:bottom w:val="none" w:sz="0" w:space="0" w:color="auto"/>
                <w:right w:val="none" w:sz="0" w:space="0" w:color="auto"/>
              </w:divBdr>
            </w:div>
          </w:divsChild>
        </w:div>
        <w:div w:id="969745569">
          <w:marLeft w:val="0"/>
          <w:marRight w:val="0"/>
          <w:marTop w:val="0"/>
          <w:marBottom w:val="0"/>
          <w:divBdr>
            <w:top w:val="none" w:sz="0" w:space="0" w:color="auto"/>
            <w:left w:val="none" w:sz="0" w:space="0" w:color="auto"/>
            <w:bottom w:val="none" w:sz="0" w:space="0" w:color="auto"/>
            <w:right w:val="none" w:sz="0" w:space="0" w:color="auto"/>
          </w:divBdr>
          <w:divsChild>
            <w:div w:id="186143939">
              <w:marLeft w:val="0"/>
              <w:marRight w:val="0"/>
              <w:marTop w:val="0"/>
              <w:marBottom w:val="0"/>
              <w:divBdr>
                <w:top w:val="none" w:sz="0" w:space="0" w:color="auto"/>
                <w:left w:val="none" w:sz="0" w:space="0" w:color="auto"/>
                <w:bottom w:val="none" w:sz="0" w:space="0" w:color="auto"/>
                <w:right w:val="none" w:sz="0" w:space="0" w:color="auto"/>
              </w:divBdr>
            </w:div>
            <w:div w:id="1355694420">
              <w:marLeft w:val="0"/>
              <w:marRight w:val="0"/>
              <w:marTop w:val="0"/>
              <w:marBottom w:val="0"/>
              <w:divBdr>
                <w:top w:val="none" w:sz="0" w:space="0" w:color="auto"/>
                <w:left w:val="none" w:sz="0" w:space="0" w:color="auto"/>
                <w:bottom w:val="none" w:sz="0" w:space="0" w:color="auto"/>
                <w:right w:val="none" w:sz="0" w:space="0" w:color="auto"/>
              </w:divBdr>
            </w:div>
            <w:div w:id="1526628089">
              <w:marLeft w:val="0"/>
              <w:marRight w:val="0"/>
              <w:marTop w:val="0"/>
              <w:marBottom w:val="0"/>
              <w:divBdr>
                <w:top w:val="none" w:sz="0" w:space="0" w:color="auto"/>
                <w:left w:val="none" w:sz="0" w:space="0" w:color="auto"/>
                <w:bottom w:val="none" w:sz="0" w:space="0" w:color="auto"/>
                <w:right w:val="none" w:sz="0" w:space="0" w:color="auto"/>
              </w:divBdr>
            </w:div>
            <w:div w:id="1286084012">
              <w:marLeft w:val="0"/>
              <w:marRight w:val="0"/>
              <w:marTop w:val="0"/>
              <w:marBottom w:val="0"/>
              <w:divBdr>
                <w:top w:val="none" w:sz="0" w:space="0" w:color="auto"/>
                <w:left w:val="none" w:sz="0" w:space="0" w:color="auto"/>
                <w:bottom w:val="none" w:sz="0" w:space="0" w:color="auto"/>
                <w:right w:val="none" w:sz="0" w:space="0" w:color="auto"/>
              </w:divBdr>
            </w:div>
            <w:div w:id="1845435302">
              <w:marLeft w:val="0"/>
              <w:marRight w:val="0"/>
              <w:marTop w:val="0"/>
              <w:marBottom w:val="0"/>
              <w:divBdr>
                <w:top w:val="none" w:sz="0" w:space="0" w:color="auto"/>
                <w:left w:val="none" w:sz="0" w:space="0" w:color="auto"/>
                <w:bottom w:val="none" w:sz="0" w:space="0" w:color="auto"/>
                <w:right w:val="none" w:sz="0" w:space="0" w:color="auto"/>
              </w:divBdr>
            </w:div>
          </w:divsChild>
        </w:div>
        <w:div w:id="1087652143">
          <w:marLeft w:val="0"/>
          <w:marRight w:val="0"/>
          <w:marTop w:val="0"/>
          <w:marBottom w:val="0"/>
          <w:divBdr>
            <w:top w:val="none" w:sz="0" w:space="0" w:color="auto"/>
            <w:left w:val="none" w:sz="0" w:space="0" w:color="auto"/>
            <w:bottom w:val="none" w:sz="0" w:space="0" w:color="auto"/>
            <w:right w:val="none" w:sz="0" w:space="0" w:color="auto"/>
          </w:divBdr>
        </w:div>
        <w:div w:id="1429420776">
          <w:marLeft w:val="0"/>
          <w:marRight w:val="0"/>
          <w:marTop w:val="0"/>
          <w:marBottom w:val="0"/>
          <w:divBdr>
            <w:top w:val="none" w:sz="0" w:space="0" w:color="auto"/>
            <w:left w:val="none" w:sz="0" w:space="0" w:color="auto"/>
            <w:bottom w:val="none" w:sz="0" w:space="0" w:color="auto"/>
            <w:right w:val="none" w:sz="0" w:space="0" w:color="auto"/>
          </w:divBdr>
        </w:div>
        <w:div w:id="2060935831">
          <w:marLeft w:val="0"/>
          <w:marRight w:val="0"/>
          <w:marTop w:val="0"/>
          <w:marBottom w:val="0"/>
          <w:divBdr>
            <w:top w:val="none" w:sz="0" w:space="0" w:color="auto"/>
            <w:left w:val="none" w:sz="0" w:space="0" w:color="auto"/>
            <w:bottom w:val="none" w:sz="0" w:space="0" w:color="auto"/>
            <w:right w:val="none" w:sz="0" w:space="0" w:color="auto"/>
          </w:divBdr>
        </w:div>
        <w:div w:id="1779909439">
          <w:marLeft w:val="0"/>
          <w:marRight w:val="0"/>
          <w:marTop w:val="0"/>
          <w:marBottom w:val="0"/>
          <w:divBdr>
            <w:top w:val="none" w:sz="0" w:space="0" w:color="auto"/>
            <w:left w:val="none" w:sz="0" w:space="0" w:color="auto"/>
            <w:bottom w:val="none" w:sz="0" w:space="0" w:color="auto"/>
            <w:right w:val="none" w:sz="0" w:space="0" w:color="auto"/>
          </w:divBdr>
        </w:div>
        <w:div w:id="1378504532">
          <w:marLeft w:val="0"/>
          <w:marRight w:val="0"/>
          <w:marTop w:val="0"/>
          <w:marBottom w:val="0"/>
          <w:divBdr>
            <w:top w:val="none" w:sz="0" w:space="0" w:color="auto"/>
            <w:left w:val="none" w:sz="0" w:space="0" w:color="auto"/>
            <w:bottom w:val="none" w:sz="0" w:space="0" w:color="auto"/>
            <w:right w:val="none" w:sz="0" w:space="0" w:color="auto"/>
          </w:divBdr>
        </w:div>
        <w:div w:id="1617103964">
          <w:marLeft w:val="0"/>
          <w:marRight w:val="0"/>
          <w:marTop w:val="0"/>
          <w:marBottom w:val="0"/>
          <w:divBdr>
            <w:top w:val="none" w:sz="0" w:space="0" w:color="auto"/>
            <w:left w:val="none" w:sz="0" w:space="0" w:color="auto"/>
            <w:bottom w:val="none" w:sz="0" w:space="0" w:color="auto"/>
            <w:right w:val="none" w:sz="0" w:space="0" w:color="auto"/>
          </w:divBdr>
        </w:div>
        <w:div w:id="925848660">
          <w:marLeft w:val="0"/>
          <w:marRight w:val="0"/>
          <w:marTop w:val="0"/>
          <w:marBottom w:val="0"/>
          <w:divBdr>
            <w:top w:val="none" w:sz="0" w:space="0" w:color="auto"/>
            <w:left w:val="none" w:sz="0" w:space="0" w:color="auto"/>
            <w:bottom w:val="none" w:sz="0" w:space="0" w:color="auto"/>
            <w:right w:val="none" w:sz="0" w:space="0" w:color="auto"/>
          </w:divBdr>
        </w:div>
        <w:div w:id="1205019687">
          <w:marLeft w:val="0"/>
          <w:marRight w:val="0"/>
          <w:marTop w:val="0"/>
          <w:marBottom w:val="0"/>
          <w:divBdr>
            <w:top w:val="none" w:sz="0" w:space="0" w:color="auto"/>
            <w:left w:val="none" w:sz="0" w:space="0" w:color="auto"/>
            <w:bottom w:val="none" w:sz="0" w:space="0" w:color="auto"/>
            <w:right w:val="none" w:sz="0" w:space="0" w:color="auto"/>
          </w:divBdr>
        </w:div>
        <w:div w:id="1879707504">
          <w:marLeft w:val="0"/>
          <w:marRight w:val="0"/>
          <w:marTop w:val="0"/>
          <w:marBottom w:val="0"/>
          <w:divBdr>
            <w:top w:val="none" w:sz="0" w:space="0" w:color="auto"/>
            <w:left w:val="none" w:sz="0" w:space="0" w:color="auto"/>
            <w:bottom w:val="none" w:sz="0" w:space="0" w:color="auto"/>
            <w:right w:val="none" w:sz="0" w:space="0" w:color="auto"/>
          </w:divBdr>
        </w:div>
        <w:div w:id="1343052043">
          <w:marLeft w:val="0"/>
          <w:marRight w:val="0"/>
          <w:marTop w:val="0"/>
          <w:marBottom w:val="0"/>
          <w:divBdr>
            <w:top w:val="none" w:sz="0" w:space="0" w:color="auto"/>
            <w:left w:val="none" w:sz="0" w:space="0" w:color="auto"/>
            <w:bottom w:val="none" w:sz="0" w:space="0" w:color="auto"/>
            <w:right w:val="none" w:sz="0" w:space="0" w:color="auto"/>
          </w:divBdr>
        </w:div>
        <w:div w:id="273488438">
          <w:marLeft w:val="0"/>
          <w:marRight w:val="0"/>
          <w:marTop w:val="0"/>
          <w:marBottom w:val="0"/>
          <w:divBdr>
            <w:top w:val="none" w:sz="0" w:space="0" w:color="auto"/>
            <w:left w:val="none" w:sz="0" w:space="0" w:color="auto"/>
            <w:bottom w:val="none" w:sz="0" w:space="0" w:color="auto"/>
            <w:right w:val="none" w:sz="0" w:space="0" w:color="auto"/>
          </w:divBdr>
        </w:div>
        <w:div w:id="376324413">
          <w:marLeft w:val="0"/>
          <w:marRight w:val="0"/>
          <w:marTop w:val="0"/>
          <w:marBottom w:val="0"/>
          <w:divBdr>
            <w:top w:val="none" w:sz="0" w:space="0" w:color="auto"/>
            <w:left w:val="none" w:sz="0" w:space="0" w:color="auto"/>
            <w:bottom w:val="none" w:sz="0" w:space="0" w:color="auto"/>
            <w:right w:val="none" w:sz="0" w:space="0" w:color="auto"/>
          </w:divBdr>
        </w:div>
        <w:div w:id="1788965400">
          <w:marLeft w:val="0"/>
          <w:marRight w:val="0"/>
          <w:marTop w:val="0"/>
          <w:marBottom w:val="0"/>
          <w:divBdr>
            <w:top w:val="none" w:sz="0" w:space="0" w:color="auto"/>
            <w:left w:val="none" w:sz="0" w:space="0" w:color="auto"/>
            <w:bottom w:val="none" w:sz="0" w:space="0" w:color="auto"/>
            <w:right w:val="none" w:sz="0" w:space="0" w:color="auto"/>
          </w:divBdr>
        </w:div>
        <w:div w:id="1046183144">
          <w:marLeft w:val="0"/>
          <w:marRight w:val="0"/>
          <w:marTop w:val="0"/>
          <w:marBottom w:val="0"/>
          <w:divBdr>
            <w:top w:val="none" w:sz="0" w:space="0" w:color="auto"/>
            <w:left w:val="none" w:sz="0" w:space="0" w:color="auto"/>
            <w:bottom w:val="none" w:sz="0" w:space="0" w:color="auto"/>
            <w:right w:val="none" w:sz="0" w:space="0" w:color="auto"/>
          </w:divBdr>
        </w:div>
        <w:div w:id="171189450">
          <w:marLeft w:val="0"/>
          <w:marRight w:val="0"/>
          <w:marTop w:val="0"/>
          <w:marBottom w:val="0"/>
          <w:divBdr>
            <w:top w:val="none" w:sz="0" w:space="0" w:color="auto"/>
            <w:left w:val="none" w:sz="0" w:space="0" w:color="auto"/>
            <w:bottom w:val="none" w:sz="0" w:space="0" w:color="auto"/>
            <w:right w:val="none" w:sz="0" w:space="0" w:color="auto"/>
          </w:divBdr>
        </w:div>
        <w:div w:id="1888758554">
          <w:marLeft w:val="0"/>
          <w:marRight w:val="0"/>
          <w:marTop w:val="0"/>
          <w:marBottom w:val="0"/>
          <w:divBdr>
            <w:top w:val="none" w:sz="0" w:space="0" w:color="auto"/>
            <w:left w:val="none" w:sz="0" w:space="0" w:color="auto"/>
            <w:bottom w:val="none" w:sz="0" w:space="0" w:color="auto"/>
            <w:right w:val="none" w:sz="0" w:space="0" w:color="auto"/>
          </w:divBdr>
        </w:div>
        <w:div w:id="227807840">
          <w:marLeft w:val="0"/>
          <w:marRight w:val="0"/>
          <w:marTop w:val="0"/>
          <w:marBottom w:val="0"/>
          <w:divBdr>
            <w:top w:val="none" w:sz="0" w:space="0" w:color="auto"/>
            <w:left w:val="none" w:sz="0" w:space="0" w:color="auto"/>
            <w:bottom w:val="none" w:sz="0" w:space="0" w:color="auto"/>
            <w:right w:val="none" w:sz="0" w:space="0" w:color="auto"/>
          </w:divBdr>
        </w:div>
        <w:div w:id="1803187001">
          <w:marLeft w:val="0"/>
          <w:marRight w:val="0"/>
          <w:marTop w:val="0"/>
          <w:marBottom w:val="0"/>
          <w:divBdr>
            <w:top w:val="none" w:sz="0" w:space="0" w:color="auto"/>
            <w:left w:val="none" w:sz="0" w:space="0" w:color="auto"/>
            <w:bottom w:val="none" w:sz="0" w:space="0" w:color="auto"/>
            <w:right w:val="none" w:sz="0" w:space="0" w:color="auto"/>
          </w:divBdr>
        </w:div>
        <w:div w:id="217012941">
          <w:marLeft w:val="0"/>
          <w:marRight w:val="0"/>
          <w:marTop w:val="0"/>
          <w:marBottom w:val="0"/>
          <w:divBdr>
            <w:top w:val="none" w:sz="0" w:space="0" w:color="auto"/>
            <w:left w:val="none" w:sz="0" w:space="0" w:color="auto"/>
            <w:bottom w:val="none" w:sz="0" w:space="0" w:color="auto"/>
            <w:right w:val="none" w:sz="0" w:space="0" w:color="auto"/>
          </w:divBdr>
        </w:div>
        <w:div w:id="245965155">
          <w:marLeft w:val="0"/>
          <w:marRight w:val="0"/>
          <w:marTop w:val="0"/>
          <w:marBottom w:val="0"/>
          <w:divBdr>
            <w:top w:val="none" w:sz="0" w:space="0" w:color="auto"/>
            <w:left w:val="none" w:sz="0" w:space="0" w:color="auto"/>
            <w:bottom w:val="none" w:sz="0" w:space="0" w:color="auto"/>
            <w:right w:val="none" w:sz="0" w:space="0" w:color="auto"/>
          </w:divBdr>
        </w:div>
        <w:div w:id="1738018942">
          <w:marLeft w:val="0"/>
          <w:marRight w:val="0"/>
          <w:marTop w:val="0"/>
          <w:marBottom w:val="0"/>
          <w:divBdr>
            <w:top w:val="none" w:sz="0" w:space="0" w:color="auto"/>
            <w:left w:val="none" w:sz="0" w:space="0" w:color="auto"/>
            <w:bottom w:val="none" w:sz="0" w:space="0" w:color="auto"/>
            <w:right w:val="none" w:sz="0" w:space="0" w:color="auto"/>
          </w:divBdr>
        </w:div>
        <w:div w:id="966936997">
          <w:marLeft w:val="0"/>
          <w:marRight w:val="0"/>
          <w:marTop w:val="0"/>
          <w:marBottom w:val="0"/>
          <w:divBdr>
            <w:top w:val="none" w:sz="0" w:space="0" w:color="auto"/>
            <w:left w:val="none" w:sz="0" w:space="0" w:color="auto"/>
            <w:bottom w:val="none" w:sz="0" w:space="0" w:color="auto"/>
            <w:right w:val="none" w:sz="0" w:space="0" w:color="auto"/>
          </w:divBdr>
        </w:div>
        <w:div w:id="1683438223">
          <w:marLeft w:val="0"/>
          <w:marRight w:val="0"/>
          <w:marTop w:val="0"/>
          <w:marBottom w:val="0"/>
          <w:divBdr>
            <w:top w:val="none" w:sz="0" w:space="0" w:color="auto"/>
            <w:left w:val="none" w:sz="0" w:space="0" w:color="auto"/>
            <w:bottom w:val="none" w:sz="0" w:space="0" w:color="auto"/>
            <w:right w:val="none" w:sz="0" w:space="0" w:color="auto"/>
          </w:divBdr>
        </w:div>
        <w:div w:id="685445203">
          <w:marLeft w:val="0"/>
          <w:marRight w:val="0"/>
          <w:marTop w:val="0"/>
          <w:marBottom w:val="0"/>
          <w:divBdr>
            <w:top w:val="none" w:sz="0" w:space="0" w:color="auto"/>
            <w:left w:val="none" w:sz="0" w:space="0" w:color="auto"/>
            <w:bottom w:val="none" w:sz="0" w:space="0" w:color="auto"/>
            <w:right w:val="none" w:sz="0" w:space="0" w:color="auto"/>
          </w:divBdr>
        </w:div>
        <w:div w:id="1456413833">
          <w:marLeft w:val="0"/>
          <w:marRight w:val="0"/>
          <w:marTop w:val="0"/>
          <w:marBottom w:val="0"/>
          <w:divBdr>
            <w:top w:val="none" w:sz="0" w:space="0" w:color="auto"/>
            <w:left w:val="none" w:sz="0" w:space="0" w:color="auto"/>
            <w:bottom w:val="none" w:sz="0" w:space="0" w:color="auto"/>
            <w:right w:val="none" w:sz="0" w:space="0" w:color="auto"/>
          </w:divBdr>
        </w:div>
        <w:div w:id="1216815104">
          <w:marLeft w:val="0"/>
          <w:marRight w:val="0"/>
          <w:marTop w:val="0"/>
          <w:marBottom w:val="0"/>
          <w:divBdr>
            <w:top w:val="none" w:sz="0" w:space="0" w:color="auto"/>
            <w:left w:val="none" w:sz="0" w:space="0" w:color="auto"/>
            <w:bottom w:val="none" w:sz="0" w:space="0" w:color="auto"/>
            <w:right w:val="none" w:sz="0" w:space="0" w:color="auto"/>
          </w:divBdr>
          <w:divsChild>
            <w:div w:id="1277522426">
              <w:marLeft w:val="0"/>
              <w:marRight w:val="0"/>
              <w:marTop w:val="0"/>
              <w:marBottom w:val="0"/>
              <w:divBdr>
                <w:top w:val="none" w:sz="0" w:space="0" w:color="auto"/>
                <w:left w:val="none" w:sz="0" w:space="0" w:color="auto"/>
                <w:bottom w:val="none" w:sz="0" w:space="0" w:color="auto"/>
                <w:right w:val="none" w:sz="0" w:space="0" w:color="auto"/>
              </w:divBdr>
            </w:div>
            <w:div w:id="1991518487">
              <w:marLeft w:val="0"/>
              <w:marRight w:val="0"/>
              <w:marTop w:val="0"/>
              <w:marBottom w:val="0"/>
              <w:divBdr>
                <w:top w:val="none" w:sz="0" w:space="0" w:color="auto"/>
                <w:left w:val="none" w:sz="0" w:space="0" w:color="auto"/>
                <w:bottom w:val="none" w:sz="0" w:space="0" w:color="auto"/>
                <w:right w:val="none" w:sz="0" w:space="0" w:color="auto"/>
              </w:divBdr>
            </w:div>
            <w:div w:id="212890751">
              <w:marLeft w:val="0"/>
              <w:marRight w:val="0"/>
              <w:marTop w:val="0"/>
              <w:marBottom w:val="0"/>
              <w:divBdr>
                <w:top w:val="none" w:sz="0" w:space="0" w:color="auto"/>
                <w:left w:val="none" w:sz="0" w:space="0" w:color="auto"/>
                <w:bottom w:val="none" w:sz="0" w:space="0" w:color="auto"/>
                <w:right w:val="none" w:sz="0" w:space="0" w:color="auto"/>
              </w:divBdr>
            </w:div>
          </w:divsChild>
        </w:div>
        <w:div w:id="527328844">
          <w:marLeft w:val="0"/>
          <w:marRight w:val="0"/>
          <w:marTop w:val="0"/>
          <w:marBottom w:val="0"/>
          <w:divBdr>
            <w:top w:val="none" w:sz="0" w:space="0" w:color="auto"/>
            <w:left w:val="none" w:sz="0" w:space="0" w:color="auto"/>
            <w:bottom w:val="none" w:sz="0" w:space="0" w:color="auto"/>
            <w:right w:val="none" w:sz="0" w:space="0" w:color="auto"/>
          </w:divBdr>
          <w:divsChild>
            <w:div w:id="17044892">
              <w:marLeft w:val="0"/>
              <w:marRight w:val="0"/>
              <w:marTop w:val="0"/>
              <w:marBottom w:val="0"/>
              <w:divBdr>
                <w:top w:val="none" w:sz="0" w:space="0" w:color="auto"/>
                <w:left w:val="none" w:sz="0" w:space="0" w:color="auto"/>
                <w:bottom w:val="none" w:sz="0" w:space="0" w:color="auto"/>
                <w:right w:val="none" w:sz="0" w:space="0" w:color="auto"/>
              </w:divBdr>
            </w:div>
            <w:div w:id="1565673955">
              <w:marLeft w:val="0"/>
              <w:marRight w:val="0"/>
              <w:marTop w:val="0"/>
              <w:marBottom w:val="0"/>
              <w:divBdr>
                <w:top w:val="none" w:sz="0" w:space="0" w:color="auto"/>
                <w:left w:val="none" w:sz="0" w:space="0" w:color="auto"/>
                <w:bottom w:val="none" w:sz="0" w:space="0" w:color="auto"/>
                <w:right w:val="none" w:sz="0" w:space="0" w:color="auto"/>
              </w:divBdr>
            </w:div>
          </w:divsChild>
        </w:div>
        <w:div w:id="971249583">
          <w:marLeft w:val="0"/>
          <w:marRight w:val="0"/>
          <w:marTop w:val="0"/>
          <w:marBottom w:val="0"/>
          <w:divBdr>
            <w:top w:val="none" w:sz="0" w:space="0" w:color="auto"/>
            <w:left w:val="none" w:sz="0" w:space="0" w:color="auto"/>
            <w:bottom w:val="none" w:sz="0" w:space="0" w:color="auto"/>
            <w:right w:val="none" w:sz="0" w:space="0" w:color="auto"/>
          </w:divBdr>
          <w:divsChild>
            <w:div w:id="414522645">
              <w:marLeft w:val="0"/>
              <w:marRight w:val="0"/>
              <w:marTop w:val="0"/>
              <w:marBottom w:val="0"/>
              <w:divBdr>
                <w:top w:val="none" w:sz="0" w:space="0" w:color="auto"/>
                <w:left w:val="none" w:sz="0" w:space="0" w:color="auto"/>
                <w:bottom w:val="none" w:sz="0" w:space="0" w:color="auto"/>
                <w:right w:val="none" w:sz="0" w:space="0" w:color="auto"/>
              </w:divBdr>
            </w:div>
          </w:divsChild>
        </w:div>
        <w:div w:id="489903113">
          <w:marLeft w:val="0"/>
          <w:marRight w:val="0"/>
          <w:marTop w:val="0"/>
          <w:marBottom w:val="0"/>
          <w:divBdr>
            <w:top w:val="none" w:sz="0" w:space="0" w:color="auto"/>
            <w:left w:val="none" w:sz="0" w:space="0" w:color="auto"/>
            <w:bottom w:val="none" w:sz="0" w:space="0" w:color="auto"/>
            <w:right w:val="none" w:sz="0" w:space="0" w:color="auto"/>
          </w:divBdr>
          <w:divsChild>
            <w:div w:id="9528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28117">
      <w:bodyDiv w:val="1"/>
      <w:marLeft w:val="0"/>
      <w:marRight w:val="0"/>
      <w:marTop w:val="0"/>
      <w:marBottom w:val="0"/>
      <w:divBdr>
        <w:top w:val="none" w:sz="0" w:space="0" w:color="auto"/>
        <w:left w:val="none" w:sz="0" w:space="0" w:color="auto"/>
        <w:bottom w:val="none" w:sz="0" w:space="0" w:color="auto"/>
        <w:right w:val="none" w:sz="0" w:space="0" w:color="auto"/>
      </w:divBdr>
      <w:divsChild>
        <w:div w:id="958609921">
          <w:marLeft w:val="0"/>
          <w:marRight w:val="0"/>
          <w:marTop w:val="0"/>
          <w:marBottom w:val="0"/>
          <w:divBdr>
            <w:top w:val="none" w:sz="0" w:space="0" w:color="auto"/>
            <w:left w:val="none" w:sz="0" w:space="0" w:color="auto"/>
            <w:bottom w:val="none" w:sz="0" w:space="0" w:color="auto"/>
            <w:right w:val="none" w:sz="0" w:space="0" w:color="auto"/>
          </w:divBdr>
        </w:div>
        <w:div w:id="215702832">
          <w:marLeft w:val="0"/>
          <w:marRight w:val="0"/>
          <w:marTop w:val="0"/>
          <w:marBottom w:val="0"/>
          <w:divBdr>
            <w:top w:val="none" w:sz="0" w:space="0" w:color="auto"/>
            <w:left w:val="none" w:sz="0" w:space="0" w:color="auto"/>
            <w:bottom w:val="none" w:sz="0" w:space="0" w:color="auto"/>
            <w:right w:val="none" w:sz="0" w:space="0" w:color="auto"/>
          </w:divBdr>
        </w:div>
      </w:divsChild>
    </w:div>
    <w:div w:id="1121538674">
      <w:bodyDiv w:val="1"/>
      <w:marLeft w:val="0"/>
      <w:marRight w:val="0"/>
      <w:marTop w:val="0"/>
      <w:marBottom w:val="0"/>
      <w:divBdr>
        <w:top w:val="none" w:sz="0" w:space="0" w:color="auto"/>
        <w:left w:val="none" w:sz="0" w:space="0" w:color="auto"/>
        <w:bottom w:val="none" w:sz="0" w:space="0" w:color="auto"/>
        <w:right w:val="none" w:sz="0" w:space="0" w:color="auto"/>
      </w:divBdr>
      <w:divsChild>
        <w:div w:id="2049523307">
          <w:marLeft w:val="0"/>
          <w:marRight w:val="0"/>
          <w:marTop w:val="0"/>
          <w:marBottom w:val="0"/>
          <w:divBdr>
            <w:top w:val="none" w:sz="0" w:space="0" w:color="auto"/>
            <w:left w:val="none" w:sz="0" w:space="0" w:color="auto"/>
            <w:bottom w:val="none" w:sz="0" w:space="0" w:color="auto"/>
            <w:right w:val="none" w:sz="0" w:space="0" w:color="auto"/>
          </w:divBdr>
        </w:div>
        <w:div w:id="790633743">
          <w:marLeft w:val="0"/>
          <w:marRight w:val="0"/>
          <w:marTop w:val="0"/>
          <w:marBottom w:val="0"/>
          <w:divBdr>
            <w:top w:val="none" w:sz="0" w:space="0" w:color="auto"/>
            <w:left w:val="none" w:sz="0" w:space="0" w:color="auto"/>
            <w:bottom w:val="none" w:sz="0" w:space="0" w:color="auto"/>
            <w:right w:val="none" w:sz="0" w:space="0" w:color="auto"/>
          </w:divBdr>
        </w:div>
        <w:div w:id="1344437916">
          <w:marLeft w:val="0"/>
          <w:marRight w:val="0"/>
          <w:marTop w:val="0"/>
          <w:marBottom w:val="0"/>
          <w:divBdr>
            <w:top w:val="none" w:sz="0" w:space="0" w:color="auto"/>
            <w:left w:val="none" w:sz="0" w:space="0" w:color="auto"/>
            <w:bottom w:val="none" w:sz="0" w:space="0" w:color="auto"/>
            <w:right w:val="none" w:sz="0" w:space="0" w:color="auto"/>
          </w:divBdr>
        </w:div>
        <w:div w:id="1542670825">
          <w:marLeft w:val="0"/>
          <w:marRight w:val="0"/>
          <w:marTop w:val="0"/>
          <w:marBottom w:val="0"/>
          <w:divBdr>
            <w:top w:val="none" w:sz="0" w:space="0" w:color="auto"/>
            <w:left w:val="none" w:sz="0" w:space="0" w:color="auto"/>
            <w:bottom w:val="none" w:sz="0" w:space="0" w:color="auto"/>
            <w:right w:val="none" w:sz="0" w:space="0" w:color="auto"/>
          </w:divBdr>
        </w:div>
        <w:div w:id="95684204">
          <w:marLeft w:val="0"/>
          <w:marRight w:val="0"/>
          <w:marTop w:val="0"/>
          <w:marBottom w:val="0"/>
          <w:divBdr>
            <w:top w:val="none" w:sz="0" w:space="0" w:color="auto"/>
            <w:left w:val="none" w:sz="0" w:space="0" w:color="auto"/>
            <w:bottom w:val="none" w:sz="0" w:space="0" w:color="auto"/>
            <w:right w:val="none" w:sz="0" w:space="0" w:color="auto"/>
          </w:divBdr>
        </w:div>
        <w:div w:id="1423449916">
          <w:marLeft w:val="0"/>
          <w:marRight w:val="0"/>
          <w:marTop w:val="0"/>
          <w:marBottom w:val="0"/>
          <w:divBdr>
            <w:top w:val="none" w:sz="0" w:space="0" w:color="auto"/>
            <w:left w:val="none" w:sz="0" w:space="0" w:color="auto"/>
            <w:bottom w:val="none" w:sz="0" w:space="0" w:color="auto"/>
            <w:right w:val="none" w:sz="0" w:space="0" w:color="auto"/>
          </w:divBdr>
        </w:div>
        <w:div w:id="1493571189">
          <w:marLeft w:val="0"/>
          <w:marRight w:val="0"/>
          <w:marTop w:val="0"/>
          <w:marBottom w:val="0"/>
          <w:divBdr>
            <w:top w:val="none" w:sz="0" w:space="0" w:color="auto"/>
            <w:left w:val="none" w:sz="0" w:space="0" w:color="auto"/>
            <w:bottom w:val="none" w:sz="0" w:space="0" w:color="auto"/>
            <w:right w:val="none" w:sz="0" w:space="0" w:color="auto"/>
          </w:divBdr>
        </w:div>
        <w:div w:id="75714923">
          <w:marLeft w:val="0"/>
          <w:marRight w:val="0"/>
          <w:marTop w:val="0"/>
          <w:marBottom w:val="0"/>
          <w:divBdr>
            <w:top w:val="none" w:sz="0" w:space="0" w:color="auto"/>
            <w:left w:val="none" w:sz="0" w:space="0" w:color="auto"/>
            <w:bottom w:val="none" w:sz="0" w:space="0" w:color="auto"/>
            <w:right w:val="none" w:sz="0" w:space="0" w:color="auto"/>
          </w:divBdr>
        </w:div>
        <w:div w:id="469443964">
          <w:marLeft w:val="0"/>
          <w:marRight w:val="0"/>
          <w:marTop w:val="0"/>
          <w:marBottom w:val="0"/>
          <w:divBdr>
            <w:top w:val="none" w:sz="0" w:space="0" w:color="auto"/>
            <w:left w:val="none" w:sz="0" w:space="0" w:color="auto"/>
            <w:bottom w:val="none" w:sz="0" w:space="0" w:color="auto"/>
            <w:right w:val="none" w:sz="0" w:space="0" w:color="auto"/>
          </w:divBdr>
        </w:div>
        <w:div w:id="609433242">
          <w:marLeft w:val="0"/>
          <w:marRight w:val="0"/>
          <w:marTop w:val="0"/>
          <w:marBottom w:val="0"/>
          <w:divBdr>
            <w:top w:val="none" w:sz="0" w:space="0" w:color="auto"/>
            <w:left w:val="none" w:sz="0" w:space="0" w:color="auto"/>
            <w:bottom w:val="none" w:sz="0" w:space="0" w:color="auto"/>
            <w:right w:val="none" w:sz="0" w:space="0" w:color="auto"/>
          </w:divBdr>
        </w:div>
        <w:div w:id="1139229240">
          <w:marLeft w:val="0"/>
          <w:marRight w:val="0"/>
          <w:marTop w:val="0"/>
          <w:marBottom w:val="0"/>
          <w:divBdr>
            <w:top w:val="none" w:sz="0" w:space="0" w:color="auto"/>
            <w:left w:val="none" w:sz="0" w:space="0" w:color="auto"/>
            <w:bottom w:val="none" w:sz="0" w:space="0" w:color="auto"/>
            <w:right w:val="none" w:sz="0" w:space="0" w:color="auto"/>
          </w:divBdr>
        </w:div>
        <w:div w:id="2097238181">
          <w:marLeft w:val="0"/>
          <w:marRight w:val="0"/>
          <w:marTop w:val="0"/>
          <w:marBottom w:val="0"/>
          <w:divBdr>
            <w:top w:val="none" w:sz="0" w:space="0" w:color="auto"/>
            <w:left w:val="none" w:sz="0" w:space="0" w:color="auto"/>
            <w:bottom w:val="none" w:sz="0" w:space="0" w:color="auto"/>
            <w:right w:val="none" w:sz="0" w:space="0" w:color="auto"/>
          </w:divBdr>
        </w:div>
        <w:div w:id="1982727432">
          <w:marLeft w:val="0"/>
          <w:marRight w:val="0"/>
          <w:marTop w:val="0"/>
          <w:marBottom w:val="0"/>
          <w:divBdr>
            <w:top w:val="none" w:sz="0" w:space="0" w:color="auto"/>
            <w:left w:val="none" w:sz="0" w:space="0" w:color="auto"/>
            <w:bottom w:val="none" w:sz="0" w:space="0" w:color="auto"/>
            <w:right w:val="none" w:sz="0" w:space="0" w:color="auto"/>
          </w:divBdr>
        </w:div>
        <w:div w:id="176162681">
          <w:marLeft w:val="0"/>
          <w:marRight w:val="0"/>
          <w:marTop w:val="0"/>
          <w:marBottom w:val="0"/>
          <w:divBdr>
            <w:top w:val="none" w:sz="0" w:space="0" w:color="auto"/>
            <w:left w:val="none" w:sz="0" w:space="0" w:color="auto"/>
            <w:bottom w:val="none" w:sz="0" w:space="0" w:color="auto"/>
            <w:right w:val="none" w:sz="0" w:space="0" w:color="auto"/>
          </w:divBdr>
        </w:div>
        <w:div w:id="1139886433">
          <w:marLeft w:val="0"/>
          <w:marRight w:val="0"/>
          <w:marTop w:val="0"/>
          <w:marBottom w:val="0"/>
          <w:divBdr>
            <w:top w:val="none" w:sz="0" w:space="0" w:color="auto"/>
            <w:left w:val="none" w:sz="0" w:space="0" w:color="auto"/>
            <w:bottom w:val="none" w:sz="0" w:space="0" w:color="auto"/>
            <w:right w:val="none" w:sz="0" w:space="0" w:color="auto"/>
          </w:divBdr>
        </w:div>
        <w:div w:id="708460039">
          <w:marLeft w:val="0"/>
          <w:marRight w:val="0"/>
          <w:marTop w:val="0"/>
          <w:marBottom w:val="0"/>
          <w:divBdr>
            <w:top w:val="none" w:sz="0" w:space="0" w:color="auto"/>
            <w:left w:val="none" w:sz="0" w:space="0" w:color="auto"/>
            <w:bottom w:val="none" w:sz="0" w:space="0" w:color="auto"/>
            <w:right w:val="none" w:sz="0" w:space="0" w:color="auto"/>
          </w:divBdr>
        </w:div>
        <w:div w:id="905577211">
          <w:marLeft w:val="0"/>
          <w:marRight w:val="0"/>
          <w:marTop w:val="0"/>
          <w:marBottom w:val="0"/>
          <w:divBdr>
            <w:top w:val="none" w:sz="0" w:space="0" w:color="auto"/>
            <w:left w:val="none" w:sz="0" w:space="0" w:color="auto"/>
            <w:bottom w:val="none" w:sz="0" w:space="0" w:color="auto"/>
            <w:right w:val="none" w:sz="0" w:space="0" w:color="auto"/>
          </w:divBdr>
        </w:div>
        <w:div w:id="1409690408">
          <w:marLeft w:val="0"/>
          <w:marRight w:val="0"/>
          <w:marTop w:val="0"/>
          <w:marBottom w:val="0"/>
          <w:divBdr>
            <w:top w:val="none" w:sz="0" w:space="0" w:color="auto"/>
            <w:left w:val="none" w:sz="0" w:space="0" w:color="auto"/>
            <w:bottom w:val="none" w:sz="0" w:space="0" w:color="auto"/>
            <w:right w:val="none" w:sz="0" w:space="0" w:color="auto"/>
          </w:divBdr>
        </w:div>
        <w:div w:id="1112937257">
          <w:marLeft w:val="0"/>
          <w:marRight w:val="0"/>
          <w:marTop w:val="0"/>
          <w:marBottom w:val="0"/>
          <w:divBdr>
            <w:top w:val="none" w:sz="0" w:space="0" w:color="auto"/>
            <w:left w:val="none" w:sz="0" w:space="0" w:color="auto"/>
            <w:bottom w:val="none" w:sz="0" w:space="0" w:color="auto"/>
            <w:right w:val="none" w:sz="0" w:space="0" w:color="auto"/>
          </w:divBdr>
        </w:div>
        <w:div w:id="311495481">
          <w:marLeft w:val="0"/>
          <w:marRight w:val="0"/>
          <w:marTop w:val="0"/>
          <w:marBottom w:val="0"/>
          <w:divBdr>
            <w:top w:val="none" w:sz="0" w:space="0" w:color="auto"/>
            <w:left w:val="none" w:sz="0" w:space="0" w:color="auto"/>
            <w:bottom w:val="none" w:sz="0" w:space="0" w:color="auto"/>
            <w:right w:val="none" w:sz="0" w:space="0" w:color="auto"/>
          </w:divBdr>
        </w:div>
        <w:div w:id="487017848">
          <w:marLeft w:val="0"/>
          <w:marRight w:val="0"/>
          <w:marTop w:val="0"/>
          <w:marBottom w:val="0"/>
          <w:divBdr>
            <w:top w:val="none" w:sz="0" w:space="0" w:color="auto"/>
            <w:left w:val="none" w:sz="0" w:space="0" w:color="auto"/>
            <w:bottom w:val="none" w:sz="0" w:space="0" w:color="auto"/>
            <w:right w:val="none" w:sz="0" w:space="0" w:color="auto"/>
          </w:divBdr>
        </w:div>
        <w:div w:id="541405464">
          <w:marLeft w:val="0"/>
          <w:marRight w:val="0"/>
          <w:marTop w:val="0"/>
          <w:marBottom w:val="0"/>
          <w:divBdr>
            <w:top w:val="none" w:sz="0" w:space="0" w:color="auto"/>
            <w:left w:val="none" w:sz="0" w:space="0" w:color="auto"/>
            <w:bottom w:val="none" w:sz="0" w:space="0" w:color="auto"/>
            <w:right w:val="none" w:sz="0" w:space="0" w:color="auto"/>
          </w:divBdr>
        </w:div>
        <w:div w:id="1843816394">
          <w:marLeft w:val="0"/>
          <w:marRight w:val="0"/>
          <w:marTop w:val="0"/>
          <w:marBottom w:val="0"/>
          <w:divBdr>
            <w:top w:val="none" w:sz="0" w:space="0" w:color="auto"/>
            <w:left w:val="none" w:sz="0" w:space="0" w:color="auto"/>
            <w:bottom w:val="none" w:sz="0" w:space="0" w:color="auto"/>
            <w:right w:val="none" w:sz="0" w:space="0" w:color="auto"/>
          </w:divBdr>
        </w:div>
        <w:div w:id="1306395304">
          <w:marLeft w:val="0"/>
          <w:marRight w:val="0"/>
          <w:marTop w:val="0"/>
          <w:marBottom w:val="0"/>
          <w:divBdr>
            <w:top w:val="none" w:sz="0" w:space="0" w:color="auto"/>
            <w:left w:val="none" w:sz="0" w:space="0" w:color="auto"/>
            <w:bottom w:val="none" w:sz="0" w:space="0" w:color="auto"/>
            <w:right w:val="none" w:sz="0" w:space="0" w:color="auto"/>
          </w:divBdr>
        </w:div>
        <w:div w:id="2137336646">
          <w:marLeft w:val="0"/>
          <w:marRight w:val="0"/>
          <w:marTop w:val="0"/>
          <w:marBottom w:val="0"/>
          <w:divBdr>
            <w:top w:val="none" w:sz="0" w:space="0" w:color="auto"/>
            <w:left w:val="none" w:sz="0" w:space="0" w:color="auto"/>
            <w:bottom w:val="none" w:sz="0" w:space="0" w:color="auto"/>
            <w:right w:val="none" w:sz="0" w:space="0" w:color="auto"/>
          </w:divBdr>
        </w:div>
        <w:div w:id="927227304">
          <w:marLeft w:val="0"/>
          <w:marRight w:val="0"/>
          <w:marTop w:val="0"/>
          <w:marBottom w:val="0"/>
          <w:divBdr>
            <w:top w:val="none" w:sz="0" w:space="0" w:color="auto"/>
            <w:left w:val="none" w:sz="0" w:space="0" w:color="auto"/>
            <w:bottom w:val="none" w:sz="0" w:space="0" w:color="auto"/>
            <w:right w:val="none" w:sz="0" w:space="0" w:color="auto"/>
          </w:divBdr>
        </w:div>
        <w:div w:id="294482223">
          <w:marLeft w:val="0"/>
          <w:marRight w:val="0"/>
          <w:marTop w:val="0"/>
          <w:marBottom w:val="0"/>
          <w:divBdr>
            <w:top w:val="none" w:sz="0" w:space="0" w:color="auto"/>
            <w:left w:val="none" w:sz="0" w:space="0" w:color="auto"/>
            <w:bottom w:val="none" w:sz="0" w:space="0" w:color="auto"/>
            <w:right w:val="none" w:sz="0" w:space="0" w:color="auto"/>
          </w:divBdr>
        </w:div>
        <w:div w:id="1107115006">
          <w:marLeft w:val="0"/>
          <w:marRight w:val="0"/>
          <w:marTop w:val="0"/>
          <w:marBottom w:val="0"/>
          <w:divBdr>
            <w:top w:val="none" w:sz="0" w:space="0" w:color="auto"/>
            <w:left w:val="none" w:sz="0" w:space="0" w:color="auto"/>
            <w:bottom w:val="none" w:sz="0" w:space="0" w:color="auto"/>
            <w:right w:val="none" w:sz="0" w:space="0" w:color="auto"/>
          </w:divBdr>
        </w:div>
        <w:div w:id="460809918">
          <w:marLeft w:val="0"/>
          <w:marRight w:val="0"/>
          <w:marTop w:val="0"/>
          <w:marBottom w:val="0"/>
          <w:divBdr>
            <w:top w:val="none" w:sz="0" w:space="0" w:color="auto"/>
            <w:left w:val="none" w:sz="0" w:space="0" w:color="auto"/>
            <w:bottom w:val="none" w:sz="0" w:space="0" w:color="auto"/>
            <w:right w:val="none" w:sz="0" w:space="0" w:color="auto"/>
          </w:divBdr>
        </w:div>
        <w:div w:id="553545244">
          <w:marLeft w:val="0"/>
          <w:marRight w:val="0"/>
          <w:marTop w:val="0"/>
          <w:marBottom w:val="0"/>
          <w:divBdr>
            <w:top w:val="none" w:sz="0" w:space="0" w:color="auto"/>
            <w:left w:val="none" w:sz="0" w:space="0" w:color="auto"/>
            <w:bottom w:val="none" w:sz="0" w:space="0" w:color="auto"/>
            <w:right w:val="none" w:sz="0" w:space="0" w:color="auto"/>
          </w:divBdr>
        </w:div>
        <w:div w:id="1142960404">
          <w:marLeft w:val="0"/>
          <w:marRight w:val="0"/>
          <w:marTop w:val="0"/>
          <w:marBottom w:val="0"/>
          <w:divBdr>
            <w:top w:val="none" w:sz="0" w:space="0" w:color="auto"/>
            <w:left w:val="none" w:sz="0" w:space="0" w:color="auto"/>
            <w:bottom w:val="none" w:sz="0" w:space="0" w:color="auto"/>
            <w:right w:val="none" w:sz="0" w:space="0" w:color="auto"/>
          </w:divBdr>
        </w:div>
        <w:div w:id="1559440087">
          <w:marLeft w:val="0"/>
          <w:marRight w:val="0"/>
          <w:marTop w:val="0"/>
          <w:marBottom w:val="0"/>
          <w:divBdr>
            <w:top w:val="none" w:sz="0" w:space="0" w:color="auto"/>
            <w:left w:val="none" w:sz="0" w:space="0" w:color="auto"/>
            <w:bottom w:val="none" w:sz="0" w:space="0" w:color="auto"/>
            <w:right w:val="none" w:sz="0" w:space="0" w:color="auto"/>
          </w:divBdr>
          <w:divsChild>
            <w:div w:id="1524171436">
              <w:marLeft w:val="0"/>
              <w:marRight w:val="0"/>
              <w:marTop w:val="0"/>
              <w:marBottom w:val="0"/>
              <w:divBdr>
                <w:top w:val="none" w:sz="0" w:space="0" w:color="auto"/>
                <w:left w:val="none" w:sz="0" w:space="0" w:color="auto"/>
                <w:bottom w:val="none" w:sz="0" w:space="0" w:color="auto"/>
                <w:right w:val="none" w:sz="0" w:space="0" w:color="auto"/>
              </w:divBdr>
            </w:div>
            <w:div w:id="845172984">
              <w:marLeft w:val="0"/>
              <w:marRight w:val="0"/>
              <w:marTop w:val="0"/>
              <w:marBottom w:val="0"/>
              <w:divBdr>
                <w:top w:val="none" w:sz="0" w:space="0" w:color="auto"/>
                <w:left w:val="none" w:sz="0" w:space="0" w:color="auto"/>
                <w:bottom w:val="none" w:sz="0" w:space="0" w:color="auto"/>
                <w:right w:val="none" w:sz="0" w:space="0" w:color="auto"/>
              </w:divBdr>
            </w:div>
            <w:div w:id="796340481">
              <w:marLeft w:val="0"/>
              <w:marRight w:val="0"/>
              <w:marTop w:val="0"/>
              <w:marBottom w:val="0"/>
              <w:divBdr>
                <w:top w:val="none" w:sz="0" w:space="0" w:color="auto"/>
                <w:left w:val="none" w:sz="0" w:space="0" w:color="auto"/>
                <w:bottom w:val="none" w:sz="0" w:space="0" w:color="auto"/>
                <w:right w:val="none" w:sz="0" w:space="0" w:color="auto"/>
              </w:divBdr>
            </w:div>
            <w:div w:id="1404334237">
              <w:marLeft w:val="0"/>
              <w:marRight w:val="0"/>
              <w:marTop w:val="0"/>
              <w:marBottom w:val="0"/>
              <w:divBdr>
                <w:top w:val="none" w:sz="0" w:space="0" w:color="auto"/>
                <w:left w:val="none" w:sz="0" w:space="0" w:color="auto"/>
                <w:bottom w:val="none" w:sz="0" w:space="0" w:color="auto"/>
                <w:right w:val="none" w:sz="0" w:space="0" w:color="auto"/>
              </w:divBdr>
            </w:div>
            <w:div w:id="839272966">
              <w:marLeft w:val="0"/>
              <w:marRight w:val="0"/>
              <w:marTop w:val="0"/>
              <w:marBottom w:val="0"/>
              <w:divBdr>
                <w:top w:val="none" w:sz="0" w:space="0" w:color="auto"/>
                <w:left w:val="none" w:sz="0" w:space="0" w:color="auto"/>
                <w:bottom w:val="none" w:sz="0" w:space="0" w:color="auto"/>
                <w:right w:val="none" w:sz="0" w:space="0" w:color="auto"/>
              </w:divBdr>
            </w:div>
          </w:divsChild>
        </w:div>
        <w:div w:id="521941853">
          <w:marLeft w:val="0"/>
          <w:marRight w:val="0"/>
          <w:marTop w:val="0"/>
          <w:marBottom w:val="0"/>
          <w:divBdr>
            <w:top w:val="none" w:sz="0" w:space="0" w:color="auto"/>
            <w:left w:val="none" w:sz="0" w:space="0" w:color="auto"/>
            <w:bottom w:val="none" w:sz="0" w:space="0" w:color="auto"/>
            <w:right w:val="none" w:sz="0" w:space="0" w:color="auto"/>
          </w:divBdr>
          <w:divsChild>
            <w:div w:id="988443963">
              <w:marLeft w:val="0"/>
              <w:marRight w:val="0"/>
              <w:marTop w:val="0"/>
              <w:marBottom w:val="0"/>
              <w:divBdr>
                <w:top w:val="none" w:sz="0" w:space="0" w:color="auto"/>
                <w:left w:val="none" w:sz="0" w:space="0" w:color="auto"/>
                <w:bottom w:val="none" w:sz="0" w:space="0" w:color="auto"/>
                <w:right w:val="none" w:sz="0" w:space="0" w:color="auto"/>
              </w:divBdr>
            </w:div>
            <w:div w:id="1917130983">
              <w:marLeft w:val="0"/>
              <w:marRight w:val="0"/>
              <w:marTop w:val="0"/>
              <w:marBottom w:val="0"/>
              <w:divBdr>
                <w:top w:val="none" w:sz="0" w:space="0" w:color="auto"/>
                <w:left w:val="none" w:sz="0" w:space="0" w:color="auto"/>
                <w:bottom w:val="none" w:sz="0" w:space="0" w:color="auto"/>
                <w:right w:val="none" w:sz="0" w:space="0" w:color="auto"/>
              </w:divBdr>
            </w:div>
            <w:div w:id="1678311722">
              <w:marLeft w:val="0"/>
              <w:marRight w:val="0"/>
              <w:marTop w:val="0"/>
              <w:marBottom w:val="0"/>
              <w:divBdr>
                <w:top w:val="none" w:sz="0" w:space="0" w:color="auto"/>
                <w:left w:val="none" w:sz="0" w:space="0" w:color="auto"/>
                <w:bottom w:val="none" w:sz="0" w:space="0" w:color="auto"/>
                <w:right w:val="none" w:sz="0" w:space="0" w:color="auto"/>
              </w:divBdr>
            </w:div>
            <w:div w:id="598759858">
              <w:marLeft w:val="0"/>
              <w:marRight w:val="0"/>
              <w:marTop w:val="0"/>
              <w:marBottom w:val="0"/>
              <w:divBdr>
                <w:top w:val="none" w:sz="0" w:space="0" w:color="auto"/>
                <w:left w:val="none" w:sz="0" w:space="0" w:color="auto"/>
                <w:bottom w:val="none" w:sz="0" w:space="0" w:color="auto"/>
                <w:right w:val="none" w:sz="0" w:space="0" w:color="auto"/>
              </w:divBdr>
            </w:div>
            <w:div w:id="1227103058">
              <w:marLeft w:val="0"/>
              <w:marRight w:val="0"/>
              <w:marTop w:val="0"/>
              <w:marBottom w:val="0"/>
              <w:divBdr>
                <w:top w:val="none" w:sz="0" w:space="0" w:color="auto"/>
                <w:left w:val="none" w:sz="0" w:space="0" w:color="auto"/>
                <w:bottom w:val="none" w:sz="0" w:space="0" w:color="auto"/>
                <w:right w:val="none" w:sz="0" w:space="0" w:color="auto"/>
              </w:divBdr>
            </w:div>
          </w:divsChild>
        </w:div>
        <w:div w:id="1448506623">
          <w:marLeft w:val="0"/>
          <w:marRight w:val="0"/>
          <w:marTop w:val="0"/>
          <w:marBottom w:val="0"/>
          <w:divBdr>
            <w:top w:val="none" w:sz="0" w:space="0" w:color="auto"/>
            <w:left w:val="none" w:sz="0" w:space="0" w:color="auto"/>
            <w:bottom w:val="none" w:sz="0" w:space="0" w:color="auto"/>
            <w:right w:val="none" w:sz="0" w:space="0" w:color="auto"/>
          </w:divBdr>
          <w:divsChild>
            <w:div w:id="1380980247">
              <w:marLeft w:val="0"/>
              <w:marRight w:val="0"/>
              <w:marTop w:val="0"/>
              <w:marBottom w:val="0"/>
              <w:divBdr>
                <w:top w:val="none" w:sz="0" w:space="0" w:color="auto"/>
                <w:left w:val="none" w:sz="0" w:space="0" w:color="auto"/>
                <w:bottom w:val="none" w:sz="0" w:space="0" w:color="auto"/>
                <w:right w:val="none" w:sz="0" w:space="0" w:color="auto"/>
              </w:divBdr>
            </w:div>
            <w:div w:id="493692728">
              <w:marLeft w:val="0"/>
              <w:marRight w:val="0"/>
              <w:marTop w:val="0"/>
              <w:marBottom w:val="0"/>
              <w:divBdr>
                <w:top w:val="none" w:sz="0" w:space="0" w:color="auto"/>
                <w:left w:val="none" w:sz="0" w:space="0" w:color="auto"/>
                <w:bottom w:val="none" w:sz="0" w:space="0" w:color="auto"/>
                <w:right w:val="none" w:sz="0" w:space="0" w:color="auto"/>
              </w:divBdr>
            </w:div>
            <w:div w:id="1146776762">
              <w:marLeft w:val="0"/>
              <w:marRight w:val="0"/>
              <w:marTop w:val="0"/>
              <w:marBottom w:val="0"/>
              <w:divBdr>
                <w:top w:val="none" w:sz="0" w:space="0" w:color="auto"/>
                <w:left w:val="none" w:sz="0" w:space="0" w:color="auto"/>
                <w:bottom w:val="none" w:sz="0" w:space="0" w:color="auto"/>
                <w:right w:val="none" w:sz="0" w:space="0" w:color="auto"/>
              </w:divBdr>
            </w:div>
            <w:div w:id="1147746213">
              <w:marLeft w:val="0"/>
              <w:marRight w:val="0"/>
              <w:marTop w:val="0"/>
              <w:marBottom w:val="0"/>
              <w:divBdr>
                <w:top w:val="none" w:sz="0" w:space="0" w:color="auto"/>
                <w:left w:val="none" w:sz="0" w:space="0" w:color="auto"/>
                <w:bottom w:val="none" w:sz="0" w:space="0" w:color="auto"/>
                <w:right w:val="none" w:sz="0" w:space="0" w:color="auto"/>
              </w:divBdr>
            </w:div>
            <w:div w:id="460538159">
              <w:marLeft w:val="0"/>
              <w:marRight w:val="0"/>
              <w:marTop w:val="0"/>
              <w:marBottom w:val="0"/>
              <w:divBdr>
                <w:top w:val="none" w:sz="0" w:space="0" w:color="auto"/>
                <w:left w:val="none" w:sz="0" w:space="0" w:color="auto"/>
                <w:bottom w:val="none" w:sz="0" w:space="0" w:color="auto"/>
                <w:right w:val="none" w:sz="0" w:space="0" w:color="auto"/>
              </w:divBdr>
            </w:div>
          </w:divsChild>
        </w:div>
        <w:div w:id="608589396">
          <w:marLeft w:val="0"/>
          <w:marRight w:val="0"/>
          <w:marTop w:val="0"/>
          <w:marBottom w:val="0"/>
          <w:divBdr>
            <w:top w:val="none" w:sz="0" w:space="0" w:color="auto"/>
            <w:left w:val="none" w:sz="0" w:space="0" w:color="auto"/>
            <w:bottom w:val="none" w:sz="0" w:space="0" w:color="auto"/>
            <w:right w:val="none" w:sz="0" w:space="0" w:color="auto"/>
          </w:divBdr>
          <w:divsChild>
            <w:div w:id="308049285">
              <w:marLeft w:val="0"/>
              <w:marRight w:val="0"/>
              <w:marTop w:val="0"/>
              <w:marBottom w:val="0"/>
              <w:divBdr>
                <w:top w:val="none" w:sz="0" w:space="0" w:color="auto"/>
                <w:left w:val="none" w:sz="0" w:space="0" w:color="auto"/>
                <w:bottom w:val="none" w:sz="0" w:space="0" w:color="auto"/>
                <w:right w:val="none" w:sz="0" w:space="0" w:color="auto"/>
              </w:divBdr>
            </w:div>
            <w:div w:id="1910267148">
              <w:marLeft w:val="0"/>
              <w:marRight w:val="0"/>
              <w:marTop w:val="0"/>
              <w:marBottom w:val="0"/>
              <w:divBdr>
                <w:top w:val="none" w:sz="0" w:space="0" w:color="auto"/>
                <w:left w:val="none" w:sz="0" w:space="0" w:color="auto"/>
                <w:bottom w:val="none" w:sz="0" w:space="0" w:color="auto"/>
                <w:right w:val="none" w:sz="0" w:space="0" w:color="auto"/>
              </w:divBdr>
            </w:div>
            <w:div w:id="1994604621">
              <w:marLeft w:val="0"/>
              <w:marRight w:val="0"/>
              <w:marTop w:val="0"/>
              <w:marBottom w:val="0"/>
              <w:divBdr>
                <w:top w:val="none" w:sz="0" w:space="0" w:color="auto"/>
                <w:left w:val="none" w:sz="0" w:space="0" w:color="auto"/>
                <w:bottom w:val="none" w:sz="0" w:space="0" w:color="auto"/>
                <w:right w:val="none" w:sz="0" w:space="0" w:color="auto"/>
              </w:divBdr>
            </w:div>
            <w:div w:id="1651786240">
              <w:marLeft w:val="0"/>
              <w:marRight w:val="0"/>
              <w:marTop w:val="0"/>
              <w:marBottom w:val="0"/>
              <w:divBdr>
                <w:top w:val="none" w:sz="0" w:space="0" w:color="auto"/>
                <w:left w:val="none" w:sz="0" w:space="0" w:color="auto"/>
                <w:bottom w:val="none" w:sz="0" w:space="0" w:color="auto"/>
                <w:right w:val="none" w:sz="0" w:space="0" w:color="auto"/>
              </w:divBdr>
            </w:div>
            <w:div w:id="119810572">
              <w:marLeft w:val="0"/>
              <w:marRight w:val="0"/>
              <w:marTop w:val="0"/>
              <w:marBottom w:val="0"/>
              <w:divBdr>
                <w:top w:val="none" w:sz="0" w:space="0" w:color="auto"/>
                <w:left w:val="none" w:sz="0" w:space="0" w:color="auto"/>
                <w:bottom w:val="none" w:sz="0" w:space="0" w:color="auto"/>
                <w:right w:val="none" w:sz="0" w:space="0" w:color="auto"/>
              </w:divBdr>
            </w:div>
          </w:divsChild>
        </w:div>
        <w:div w:id="2028560448">
          <w:marLeft w:val="0"/>
          <w:marRight w:val="0"/>
          <w:marTop w:val="0"/>
          <w:marBottom w:val="0"/>
          <w:divBdr>
            <w:top w:val="none" w:sz="0" w:space="0" w:color="auto"/>
            <w:left w:val="none" w:sz="0" w:space="0" w:color="auto"/>
            <w:bottom w:val="none" w:sz="0" w:space="0" w:color="auto"/>
            <w:right w:val="none" w:sz="0" w:space="0" w:color="auto"/>
          </w:divBdr>
          <w:divsChild>
            <w:div w:id="71123058">
              <w:marLeft w:val="0"/>
              <w:marRight w:val="0"/>
              <w:marTop w:val="0"/>
              <w:marBottom w:val="0"/>
              <w:divBdr>
                <w:top w:val="none" w:sz="0" w:space="0" w:color="auto"/>
                <w:left w:val="none" w:sz="0" w:space="0" w:color="auto"/>
                <w:bottom w:val="none" w:sz="0" w:space="0" w:color="auto"/>
                <w:right w:val="none" w:sz="0" w:space="0" w:color="auto"/>
              </w:divBdr>
            </w:div>
            <w:div w:id="1838687311">
              <w:marLeft w:val="0"/>
              <w:marRight w:val="0"/>
              <w:marTop w:val="0"/>
              <w:marBottom w:val="0"/>
              <w:divBdr>
                <w:top w:val="none" w:sz="0" w:space="0" w:color="auto"/>
                <w:left w:val="none" w:sz="0" w:space="0" w:color="auto"/>
                <w:bottom w:val="none" w:sz="0" w:space="0" w:color="auto"/>
                <w:right w:val="none" w:sz="0" w:space="0" w:color="auto"/>
              </w:divBdr>
            </w:div>
            <w:div w:id="95247152">
              <w:marLeft w:val="0"/>
              <w:marRight w:val="0"/>
              <w:marTop w:val="0"/>
              <w:marBottom w:val="0"/>
              <w:divBdr>
                <w:top w:val="none" w:sz="0" w:space="0" w:color="auto"/>
                <w:left w:val="none" w:sz="0" w:space="0" w:color="auto"/>
                <w:bottom w:val="none" w:sz="0" w:space="0" w:color="auto"/>
                <w:right w:val="none" w:sz="0" w:space="0" w:color="auto"/>
              </w:divBdr>
            </w:div>
            <w:div w:id="1271472719">
              <w:marLeft w:val="0"/>
              <w:marRight w:val="0"/>
              <w:marTop w:val="0"/>
              <w:marBottom w:val="0"/>
              <w:divBdr>
                <w:top w:val="none" w:sz="0" w:space="0" w:color="auto"/>
                <w:left w:val="none" w:sz="0" w:space="0" w:color="auto"/>
                <w:bottom w:val="none" w:sz="0" w:space="0" w:color="auto"/>
                <w:right w:val="none" w:sz="0" w:space="0" w:color="auto"/>
              </w:divBdr>
            </w:div>
            <w:div w:id="1603495119">
              <w:marLeft w:val="0"/>
              <w:marRight w:val="0"/>
              <w:marTop w:val="0"/>
              <w:marBottom w:val="0"/>
              <w:divBdr>
                <w:top w:val="none" w:sz="0" w:space="0" w:color="auto"/>
                <w:left w:val="none" w:sz="0" w:space="0" w:color="auto"/>
                <w:bottom w:val="none" w:sz="0" w:space="0" w:color="auto"/>
                <w:right w:val="none" w:sz="0" w:space="0" w:color="auto"/>
              </w:divBdr>
            </w:div>
          </w:divsChild>
        </w:div>
        <w:div w:id="1304389477">
          <w:marLeft w:val="0"/>
          <w:marRight w:val="0"/>
          <w:marTop w:val="0"/>
          <w:marBottom w:val="0"/>
          <w:divBdr>
            <w:top w:val="none" w:sz="0" w:space="0" w:color="auto"/>
            <w:left w:val="none" w:sz="0" w:space="0" w:color="auto"/>
            <w:bottom w:val="none" w:sz="0" w:space="0" w:color="auto"/>
            <w:right w:val="none" w:sz="0" w:space="0" w:color="auto"/>
          </w:divBdr>
          <w:divsChild>
            <w:div w:id="552272789">
              <w:marLeft w:val="0"/>
              <w:marRight w:val="0"/>
              <w:marTop w:val="0"/>
              <w:marBottom w:val="0"/>
              <w:divBdr>
                <w:top w:val="none" w:sz="0" w:space="0" w:color="auto"/>
                <w:left w:val="none" w:sz="0" w:space="0" w:color="auto"/>
                <w:bottom w:val="none" w:sz="0" w:space="0" w:color="auto"/>
                <w:right w:val="none" w:sz="0" w:space="0" w:color="auto"/>
              </w:divBdr>
            </w:div>
            <w:div w:id="1105342629">
              <w:marLeft w:val="0"/>
              <w:marRight w:val="0"/>
              <w:marTop w:val="0"/>
              <w:marBottom w:val="0"/>
              <w:divBdr>
                <w:top w:val="none" w:sz="0" w:space="0" w:color="auto"/>
                <w:left w:val="none" w:sz="0" w:space="0" w:color="auto"/>
                <w:bottom w:val="none" w:sz="0" w:space="0" w:color="auto"/>
                <w:right w:val="none" w:sz="0" w:space="0" w:color="auto"/>
              </w:divBdr>
            </w:div>
            <w:div w:id="7636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3701">
      <w:bodyDiv w:val="1"/>
      <w:marLeft w:val="0"/>
      <w:marRight w:val="0"/>
      <w:marTop w:val="0"/>
      <w:marBottom w:val="0"/>
      <w:divBdr>
        <w:top w:val="none" w:sz="0" w:space="0" w:color="auto"/>
        <w:left w:val="none" w:sz="0" w:space="0" w:color="auto"/>
        <w:bottom w:val="none" w:sz="0" w:space="0" w:color="auto"/>
        <w:right w:val="none" w:sz="0" w:space="0" w:color="auto"/>
      </w:divBdr>
      <w:divsChild>
        <w:div w:id="291130953">
          <w:marLeft w:val="0"/>
          <w:marRight w:val="0"/>
          <w:marTop w:val="0"/>
          <w:marBottom w:val="0"/>
          <w:divBdr>
            <w:top w:val="none" w:sz="0" w:space="0" w:color="auto"/>
            <w:left w:val="none" w:sz="0" w:space="0" w:color="auto"/>
            <w:bottom w:val="none" w:sz="0" w:space="0" w:color="auto"/>
            <w:right w:val="none" w:sz="0" w:space="0" w:color="auto"/>
          </w:divBdr>
        </w:div>
        <w:div w:id="1460301193">
          <w:marLeft w:val="0"/>
          <w:marRight w:val="0"/>
          <w:marTop w:val="0"/>
          <w:marBottom w:val="0"/>
          <w:divBdr>
            <w:top w:val="none" w:sz="0" w:space="0" w:color="auto"/>
            <w:left w:val="none" w:sz="0" w:space="0" w:color="auto"/>
            <w:bottom w:val="none" w:sz="0" w:space="0" w:color="auto"/>
            <w:right w:val="none" w:sz="0" w:space="0" w:color="auto"/>
          </w:divBdr>
        </w:div>
        <w:div w:id="1169904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hyperlink" Target="https://www.cdc.gov/violenceprevention/intimatepartnerviolence/fastfact.html" TargetMode="External"/><Relationship Id="rId68" Type="http://schemas.openxmlformats.org/officeDocument/2006/relationships/hyperlink" Target="https://www.cdc.gov/injury/features/intimate-partner-violence/index.html" TargetMode="External"/><Relationship Id="rId16" Type="http://schemas.openxmlformats.org/officeDocument/2006/relationships/hyperlink" Target="mailto:DPH.PHIT@state.ma.us?subject=PHIT%20BCHAP%20ACEs%20and%20PCEs%20Dashboard" TargetMode="External"/><Relationship Id="rId11" Type="http://schemas.openxmlformats.org/officeDocument/2006/relationships/diagramData" Target="diagrams/data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hyperlink" Target="http://positiveexperiences.org/" TargetMode="External"/><Relationship Id="rId66" Type="http://schemas.openxmlformats.org/officeDocument/2006/relationships/hyperlink" Target="https://www.cdc.gov/healthyyouth/safe-supportive-environments/pd-lgbtq.htm" TargetMode="External"/><Relationship Id="rId74" Type="http://schemas.openxmlformats.org/officeDocument/2006/relationships/hyperlink" Target="https://www.mass.gov/info-details/covid-19-community-impact-survey-data-dashboard" TargetMode="External"/><Relationship Id="rId5" Type="http://schemas.openxmlformats.org/officeDocument/2006/relationships/numbering" Target="numbering.xml"/><Relationship Id="rId61" Type="http://schemas.openxmlformats.org/officeDocument/2006/relationships/hyperlink" Target="https://www.mass.gov/info-details/bullying-prevention-tips" TargetMode="External"/><Relationship Id="rId1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www.mass.gov/lists/massachusetts-youth-health-survey-myhs" TargetMode="External"/><Relationship Id="rId56" Type="http://schemas.openxmlformats.org/officeDocument/2006/relationships/image" Target="media/image38.png"/><Relationship Id="rId64" Type="http://schemas.openxmlformats.org/officeDocument/2006/relationships/hyperlink" Target="https://www.cdc.gov/violenceprevention/intimatepartnerviolence/teendatingviolence/fastfact.html" TargetMode="External"/><Relationship Id="rId69" Type="http://schemas.openxmlformats.org/officeDocument/2006/relationships/hyperlink" Target="https://www.cdc.gov/violenceprevention/youthviolence/fastfact.html"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yperlink" Target="https://www.cdc.gov/violenceprevention/sexualviolence/fastfact.html" TargetMode="External"/><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s://www.mass.gov/the-power-of-positive-childhood-experiences" TargetMode="External"/><Relationship Id="rId67" Type="http://schemas.openxmlformats.org/officeDocument/2006/relationships/hyperlink" Target="https://www.cdc.gov/violenceprevention/childabuseandneglect/fastfact.html" TargetMode="Externa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hyperlink" Target="https://www.cdc.gov/violenceprevention/communityviolence/index.html" TargetMode="External"/><Relationship Id="rId70" Type="http://schemas.openxmlformats.org/officeDocument/2006/relationships/hyperlink" Target="https://www.cdc.gov/violenceprevention/firearms/index.html"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hyperlink" Target="https://www.mass.gov/info-details/racial-equity-data-road-map?_gl=1*1ndktjb*_ga*MTEzMTU1OTgxNS4xNjg5Njg5MTU3*_ga_MCLPEGW7WM*MTY5NjI3NTY0OC40LjEuMTY5NjI3NjA0Ny4wLjAuMA.."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hyperlink" Target="https://www.cdc.gov/violenceprevention/youthviolence/bullyingresearch/fastfact.html" TargetMode="External"/><Relationship Id="rId65" Type="http://schemas.openxmlformats.org/officeDocument/2006/relationships/hyperlink" Target="https://www.cdc.gov/minorityhealth/racism-disparities/index.html" TargetMode="External"/><Relationship Id="rId73" Type="http://schemas.openxmlformats.org/officeDocument/2006/relationships/hyperlink" Target="https://www.cdc.gov/violenceprevention/childsexualabuse/fastfact.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hyperlink" Target="https://www.who.int/health-topics/social-determinants-of-health"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mass211.org/" TargetMode="External"/><Relationship Id="rId2" Type="http://schemas.openxmlformats.org/officeDocument/2006/relationships/customXml" Target="../customXml/item2.xml"/><Relationship Id="rId29"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6FEE8F-3759-41B1-ABB1-B4924719DFF4}" type="doc">
      <dgm:prSet loTypeId="urn:microsoft.com/office/officeart/2005/8/layout/default" loCatId="list" qsTypeId="urn:microsoft.com/office/officeart/2005/8/quickstyle/simple1" qsCatId="simple" csTypeId="urn:microsoft.com/office/officeart/2005/8/colors/accent1_4" csCatId="accent1" phldr="1"/>
      <dgm:spPr/>
      <dgm:t>
        <a:bodyPr/>
        <a:lstStyle/>
        <a:p>
          <a:endParaRPr lang="en-US"/>
        </a:p>
      </dgm:t>
    </dgm:pt>
    <dgm:pt modelId="{CEC8A32C-7791-4DB6-9039-EA1E656DE03C}">
      <dgm:prSet phldrT="[Text]"/>
      <dgm:spPr/>
      <dgm:t>
        <a:bodyPr/>
        <a:lstStyle/>
        <a:p>
          <a:pPr algn="ctr"/>
          <a:r>
            <a:rPr lang="en-US" b="1"/>
            <a:t>Context</a:t>
          </a:r>
          <a:r>
            <a:rPr lang="en-US" b="0"/>
            <a:t>: Childhood experiences can impact the brain, how it develops, and how someone’s body will respond to stress in the future. Positive and negative impacts on childhood development influence behaviors (e.g. school attendance and engagement) and health outcomes (e.g. mental health, chronic disease, etc.) in adulthood. This dashboard shares selected data collected from surveys on Adverse and Positive Childhood Experiences (ACEs and PCEs) among Massachusetts residents by experience and their population groups.</a:t>
          </a:r>
        </a:p>
      </dgm:t>
    </dgm:pt>
    <dgm:pt modelId="{78130597-05E5-433B-9592-CBE2B28AF2DD}" type="parTrans" cxnId="{7C31EB03-7971-4060-AB3C-33DBB4DDAACA}">
      <dgm:prSet/>
      <dgm:spPr/>
      <dgm:t>
        <a:bodyPr/>
        <a:lstStyle/>
        <a:p>
          <a:pPr algn="ctr"/>
          <a:endParaRPr lang="en-US"/>
        </a:p>
      </dgm:t>
    </dgm:pt>
    <dgm:pt modelId="{25CD921F-5522-49C1-B923-A42A08BAC29E}" type="sibTrans" cxnId="{7C31EB03-7971-4060-AB3C-33DBB4DDAACA}">
      <dgm:prSet/>
      <dgm:spPr/>
      <dgm:t>
        <a:bodyPr/>
        <a:lstStyle/>
        <a:p>
          <a:pPr algn="ctr"/>
          <a:endParaRPr lang="en-US"/>
        </a:p>
      </dgm:t>
    </dgm:pt>
    <dgm:pt modelId="{9010484A-7927-4F0D-A942-C82E32B34382}">
      <dgm:prSet phldrT="[Text]"/>
      <dgm:spPr/>
      <dgm:t>
        <a:bodyPr/>
        <a:lstStyle/>
        <a:p>
          <a:pPr algn="ctr"/>
          <a:r>
            <a:rPr lang="en-US" b="1">
              <a:solidFill>
                <a:sysClr val="windowText" lastClr="000000"/>
              </a:solidFill>
            </a:rPr>
            <a:t>Goal: </a:t>
          </a:r>
          <a:r>
            <a:rPr lang="en-US">
              <a:solidFill>
                <a:sysClr val="windowText" lastClr="000000"/>
              </a:solidFill>
            </a:rPr>
            <a:t>DPH developed a dashboard to help users to understand specific experiences in childhood by type of experience and population group identities.</a:t>
          </a:r>
        </a:p>
      </dgm:t>
    </dgm:pt>
    <dgm:pt modelId="{168CEAE9-A5B9-49FC-A4F6-995F1B33E5B3}" type="parTrans" cxnId="{F4A1DC3B-ED3C-46C2-8935-F3CA4766CF3F}">
      <dgm:prSet/>
      <dgm:spPr/>
      <dgm:t>
        <a:bodyPr/>
        <a:lstStyle/>
        <a:p>
          <a:pPr algn="ctr"/>
          <a:endParaRPr lang="en-US"/>
        </a:p>
      </dgm:t>
    </dgm:pt>
    <dgm:pt modelId="{3D1B30BB-260E-4091-BAC1-EB867EC5C933}" type="sibTrans" cxnId="{F4A1DC3B-ED3C-46C2-8935-F3CA4766CF3F}">
      <dgm:prSet/>
      <dgm:spPr/>
      <dgm:t>
        <a:bodyPr/>
        <a:lstStyle/>
        <a:p>
          <a:pPr algn="ctr"/>
          <a:endParaRPr lang="en-US"/>
        </a:p>
      </dgm:t>
    </dgm:pt>
    <dgm:pt modelId="{314C33EE-5B35-4060-B16D-24E5D40EC6CB}">
      <dgm:prSet phldrT="[Text]"/>
      <dgm:spPr/>
      <dgm:t>
        <a:bodyPr/>
        <a:lstStyle/>
        <a:p>
          <a:pPr algn="ctr"/>
          <a:r>
            <a:rPr lang="en-US" b="1">
              <a:solidFill>
                <a:sysClr val="windowText" lastClr="000000"/>
              </a:solidFill>
            </a:rPr>
            <a:t>Actions: </a:t>
          </a:r>
          <a:r>
            <a:rPr lang="en-US">
              <a:solidFill>
                <a:sysClr val="windowText" lastClr="000000"/>
              </a:solidFill>
            </a:rPr>
            <a:t>DPH is sharing these data to prioritize PCE promotion, ACEs prevention, and ACEs mitigation efforts across the state to increase healthy outcomes for Massachusetts residents.</a:t>
          </a:r>
        </a:p>
      </dgm:t>
    </dgm:pt>
    <dgm:pt modelId="{88728A53-D280-4A97-A4F2-9EAB8CD7A957}" type="parTrans" cxnId="{8ADCA046-06B9-443C-9D36-6A5E10BB8E03}">
      <dgm:prSet/>
      <dgm:spPr/>
      <dgm:t>
        <a:bodyPr/>
        <a:lstStyle/>
        <a:p>
          <a:pPr algn="ctr"/>
          <a:endParaRPr lang="en-US"/>
        </a:p>
      </dgm:t>
    </dgm:pt>
    <dgm:pt modelId="{16D0349E-A11F-4E3F-AE51-8B57FEC8562E}" type="sibTrans" cxnId="{8ADCA046-06B9-443C-9D36-6A5E10BB8E03}">
      <dgm:prSet/>
      <dgm:spPr/>
      <dgm:t>
        <a:bodyPr/>
        <a:lstStyle/>
        <a:p>
          <a:pPr algn="ctr"/>
          <a:endParaRPr lang="en-US"/>
        </a:p>
      </dgm:t>
    </dgm:pt>
    <dgm:pt modelId="{BEA93475-22FD-4605-BBAF-7AAEEE385E32}" type="pres">
      <dgm:prSet presAssocID="{576FEE8F-3759-41B1-ABB1-B4924719DFF4}" presName="diagram" presStyleCnt="0">
        <dgm:presLayoutVars>
          <dgm:dir/>
          <dgm:resizeHandles val="exact"/>
        </dgm:presLayoutVars>
      </dgm:prSet>
      <dgm:spPr/>
    </dgm:pt>
    <dgm:pt modelId="{A2EAD3BC-1E8E-4E29-A908-8EC37B4AE5CF}" type="pres">
      <dgm:prSet presAssocID="{CEC8A32C-7791-4DB6-9039-EA1E656DE03C}" presName="node" presStyleLbl="node1" presStyleIdx="0" presStyleCnt="3" custScaleX="221800">
        <dgm:presLayoutVars>
          <dgm:bulletEnabled val="1"/>
        </dgm:presLayoutVars>
      </dgm:prSet>
      <dgm:spPr/>
    </dgm:pt>
    <dgm:pt modelId="{B1BCCC8D-7CCB-42DA-A602-ED320893DAD5}" type="pres">
      <dgm:prSet presAssocID="{25CD921F-5522-49C1-B923-A42A08BAC29E}" presName="sibTrans" presStyleCnt="0"/>
      <dgm:spPr/>
    </dgm:pt>
    <dgm:pt modelId="{E8832391-C3E6-49AC-9941-8B8249451B67}" type="pres">
      <dgm:prSet presAssocID="{9010484A-7927-4F0D-A942-C82E32B34382}" presName="node" presStyleLbl="node1" presStyleIdx="1" presStyleCnt="3">
        <dgm:presLayoutVars>
          <dgm:bulletEnabled val="1"/>
        </dgm:presLayoutVars>
      </dgm:prSet>
      <dgm:spPr/>
    </dgm:pt>
    <dgm:pt modelId="{7E5DC682-5E66-4572-ACDD-507E6E39B4FE}" type="pres">
      <dgm:prSet presAssocID="{3D1B30BB-260E-4091-BAC1-EB867EC5C933}" presName="sibTrans" presStyleCnt="0"/>
      <dgm:spPr/>
    </dgm:pt>
    <dgm:pt modelId="{5617036C-1DAC-4487-A966-2D3232BC50A2}" type="pres">
      <dgm:prSet presAssocID="{314C33EE-5B35-4060-B16D-24E5D40EC6CB}" presName="node" presStyleLbl="node1" presStyleIdx="2" presStyleCnt="3">
        <dgm:presLayoutVars>
          <dgm:bulletEnabled val="1"/>
        </dgm:presLayoutVars>
      </dgm:prSet>
      <dgm:spPr/>
    </dgm:pt>
  </dgm:ptLst>
  <dgm:cxnLst>
    <dgm:cxn modelId="{7C31EB03-7971-4060-AB3C-33DBB4DDAACA}" srcId="{576FEE8F-3759-41B1-ABB1-B4924719DFF4}" destId="{CEC8A32C-7791-4DB6-9039-EA1E656DE03C}" srcOrd="0" destOrd="0" parTransId="{78130597-05E5-433B-9592-CBE2B28AF2DD}" sibTransId="{25CD921F-5522-49C1-B923-A42A08BAC29E}"/>
    <dgm:cxn modelId="{F4A1DC3B-ED3C-46C2-8935-F3CA4766CF3F}" srcId="{576FEE8F-3759-41B1-ABB1-B4924719DFF4}" destId="{9010484A-7927-4F0D-A942-C82E32B34382}" srcOrd="1" destOrd="0" parTransId="{168CEAE9-A5B9-49FC-A4F6-995F1B33E5B3}" sibTransId="{3D1B30BB-260E-4091-BAC1-EB867EC5C933}"/>
    <dgm:cxn modelId="{8ADCA046-06B9-443C-9D36-6A5E10BB8E03}" srcId="{576FEE8F-3759-41B1-ABB1-B4924719DFF4}" destId="{314C33EE-5B35-4060-B16D-24E5D40EC6CB}" srcOrd="2" destOrd="0" parTransId="{88728A53-D280-4A97-A4F2-9EAB8CD7A957}" sibTransId="{16D0349E-A11F-4E3F-AE51-8B57FEC8562E}"/>
    <dgm:cxn modelId="{7BC41292-0031-4EF1-A286-FC01FF7E019F}" type="presOf" srcId="{314C33EE-5B35-4060-B16D-24E5D40EC6CB}" destId="{5617036C-1DAC-4487-A966-2D3232BC50A2}" srcOrd="0" destOrd="0" presId="urn:microsoft.com/office/officeart/2005/8/layout/default"/>
    <dgm:cxn modelId="{BD7D9B94-967F-423B-8062-1649F8BA4CE3}" type="presOf" srcId="{CEC8A32C-7791-4DB6-9039-EA1E656DE03C}" destId="{A2EAD3BC-1E8E-4E29-A908-8EC37B4AE5CF}" srcOrd="0" destOrd="0" presId="urn:microsoft.com/office/officeart/2005/8/layout/default"/>
    <dgm:cxn modelId="{51E540E7-5064-45BB-9EDA-0E9E34E5F40D}" type="presOf" srcId="{576FEE8F-3759-41B1-ABB1-B4924719DFF4}" destId="{BEA93475-22FD-4605-BBAF-7AAEEE385E32}" srcOrd="0" destOrd="0" presId="urn:microsoft.com/office/officeart/2005/8/layout/default"/>
    <dgm:cxn modelId="{71AEB0F9-8368-497F-9963-D93D850D2F52}" type="presOf" srcId="{9010484A-7927-4F0D-A942-C82E32B34382}" destId="{E8832391-C3E6-49AC-9941-8B8249451B67}" srcOrd="0" destOrd="0" presId="urn:microsoft.com/office/officeart/2005/8/layout/default"/>
    <dgm:cxn modelId="{F731B60B-1513-4259-AC21-691C09AA3131}" type="presParOf" srcId="{BEA93475-22FD-4605-BBAF-7AAEEE385E32}" destId="{A2EAD3BC-1E8E-4E29-A908-8EC37B4AE5CF}" srcOrd="0" destOrd="0" presId="urn:microsoft.com/office/officeart/2005/8/layout/default"/>
    <dgm:cxn modelId="{7CBFFDA0-E8E1-4B3A-AAE5-1AF68D1BFDB8}" type="presParOf" srcId="{BEA93475-22FD-4605-BBAF-7AAEEE385E32}" destId="{B1BCCC8D-7CCB-42DA-A602-ED320893DAD5}" srcOrd="1" destOrd="0" presId="urn:microsoft.com/office/officeart/2005/8/layout/default"/>
    <dgm:cxn modelId="{B2721E61-1BA8-4B5B-AF7C-D129137279E1}" type="presParOf" srcId="{BEA93475-22FD-4605-BBAF-7AAEEE385E32}" destId="{E8832391-C3E6-49AC-9941-8B8249451B67}" srcOrd="2" destOrd="0" presId="urn:microsoft.com/office/officeart/2005/8/layout/default"/>
    <dgm:cxn modelId="{CF8DA45C-190F-4410-B97D-A22FF76E48AE}" type="presParOf" srcId="{BEA93475-22FD-4605-BBAF-7AAEEE385E32}" destId="{7E5DC682-5E66-4572-ACDD-507E6E39B4FE}" srcOrd="3" destOrd="0" presId="urn:microsoft.com/office/officeart/2005/8/layout/default"/>
    <dgm:cxn modelId="{0716BAA9-D4D4-4435-A585-ED14D12A012A}" type="presParOf" srcId="{BEA93475-22FD-4605-BBAF-7AAEEE385E32}" destId="{5617036C-1DAC-4487-A966-2D3232BC50A2}" srcOrd="4" destOrd="0" presId="urn:microsoft.com/office/officeart/2005/8/layout/defaul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EAD3BC-1E8E-4E29-A908-8EC37B4AE5CF}">
      <dsp:nvSpPr>
        <dsp:cNvPr id="0" name=""/>
        <dsp:cNvSpPr/>
      </dsp:nvSpPr>
      <dsp:spPr>
        <a:xfrm>
          <a:off x="263923" y="256"/>
          <a:ext cx="4693012" cy="1269525"/>
        </a:xfrm>
        <a:prstGeom prst="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Context</a:t>
          </a:r>
          <a:r>
            <a:rPr lang="en-US" sz="1100" b="0" kern="1200"/>
            <a:t>: Childhood experiences can impact the brain, how it develops, and how someone’s body will respond to stress in the future. Positive and negative impacts on childhood development influence behaviors (e.g. school attendance and engagement) and health outcomes (e.g. mental health, chronic disease, etc.) in adulthood. This dashboard shares selected data collected from surveys on Adverse and Positive Childhood Experiences (ACEs and PCEs) among Massachusetts residents by experience and their population groups.</a:t>
          </a:r>
        </a:p>
      </dsp:txBody>
      <dsp:txXfrm>
        <a:off x="263923" y="256"/>
        <a:ext cx="4693012" cy="1269525"/>
      </dsp:txXfrm>
    </dsp:sp>
    <dsp:sp modelId="{E8832391-C3E6-49AC-9941-8B8249451B67}">
      <dsp:nvSpPr>
        <dsp:cNvPr id="0" name=""/>
        <dsp:cNvSpPr/>
      </dsp:nvSpPr>
      <dsp:spPr>
        <a:xfrm>
          <a:off x="388760" y="1481369"/>
          <a:ext cx="2115875" cy="1269525"/>
        </a:xfrm>
        <a:prstGeom prst="rect">
          <a:avLst/>
        </a:prstGeom>
        <a:solidFill>
          <a:schemeClr val="accent1">
            <a:shade val="50000"/>
            <a:hueOff val="268329"/>
            <a:satOff val="-6535"/>
            <a:lumOff val="285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rPr>
            <a:t>Goal: </a:t>
          </a:r>
          <a:r>
            <a:rPr lang="en-US" sz="1100" kern="1200">
              <a:solidFill>
                <a:sysClr val="windowText" lastClr="000000"/>
              </a:solidFill>
            </a:rPr>
            <a:t>DPH developed a dashboard to help users to understand specific experiences in childhood by type of experience and population group identities.</a:t>
          </a:r>
        </a:p>
      </dsp:txBody>
      <dsp:txXfrm>
        <a:off x="388760" y="1481369"/>
        <a:ext cx="2115875" cy="1269525"/>
      </dsp:txXfrm>
    </dsp:sp>
    <dsp:sp modelId="{5617036C-1DAC-4487-A966-2D3232BC50A2}">
      <dsp:nvSpPr>
        <dsp:cNvPr id="0" name=""/>
        <dsp:cNvSpPr/>
      </dsp:nvSpPr>
      <dsp:spPr>
        <a:xfrm>
          <a:off x="2716223" y="1481369"/>
          <a:ext cx="2115875" cy="1269525"/>
        </a:xfrm>
        <a:prstGeom prst="rect">
          <a:avLst/>
        </a:prstGeom>
        <a:solidFill>
          <a:schemeClr val="accent1">
            <a:shade val="50000"/>
            <a:hueOff val="268329"/>
            <a:satOff val="-6535"/>
            <a:lumOff val="285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rPr>
            <a:t>Actions: </a:t>
          </a:r>
          <a:r>
            <a:rPr lang="en-US" sz="1100" kern="1200">
              <a:solidFill>
                <a:sysClr val="windowText" lastClr="000000"/>
              </a:solidFill>
            </a:rPr>
            <a:t>DPH is sharing these data to prioritize PCE promotion, ACEs prevention, and ACEs mitigation efforts across the state to increase healthy outcomes for Massachusetts residents.</a:t>
          </a:r>
        </a:p>
      </dsp:txBody>
      <dsp:txXfrm>
        <a:off x="2716223" y="1481369"/>
        <a:ext cx="2115875" cy="126952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70C5EA969F84D4EA1049FAF6A0D3A50" ma:contentTypeVersion="14" ma:contentTypeDescription="Create a new document." ma:contentTypeScope="" ma:versionID="1a8a7b5081631b7eec4e0bc399a32c2f">
  <xsd:schema xmlns:xsd="http://www.w3.org/2001/XMLSchema" xmlns:xs="http://www.w3.org/2001/XMLSchema" xmlns:p="http://schemas.microsoft.com/office/2006/metadata/properties" xmlns:ns2="8bfdb834-ce3b-4077-8324-83a7edcc1ba2" xmlns:ns3="1a0b7172-27e7-4d2b-a19d-ec7f9fe0541b" targetNamespace="http://schemas.microsoft.com/office/2006/metadata/properties" ma:root="true" ma:fieldsID="6ccc2d0fe1d2d902cc18b49ee78a6400" ns2:_="" ns3:_="">
    <xsd:import namespace="8bfdb834-ce3b-4077-8324-83a7edcc1ba2"/>
    <xsd:import namespace="1a0b7172-27e7-4d2b-a19d-ec7f9fe054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fdb834-ce3b-4077-8324-83a7edcc1b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0b7172-27e7-4d2b-a19d-ec7f9fe0541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7b628d0-9708-4439-b478-63a19a33b829}" ma:internalName="TaxCatchAll" ma:showField="CatchAllData" ma:web="1a0b7172-27e7-4d2b-a19d-ec7f9fe054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bfdb834-ce3b-4077-8324-83a7edcc1ba2">
      <Terms xmlns="http://schemas.microsoft.com/office/infopath/2007/PartnerControls"/>
    </lcf76f155ced4ddcb4097134ff3c332f>
    <TaxCatchAll xmlns="1a0b7172-27e7-4d2b-a19d-ec7f9fe0541b" xsi:nil="true"/>
  </documentManagement>
</p:properties>
</file>

<file path=customXml/itemProps1.xml><?xml version="1.0" encoding="utf-8"?>
<ds:datastoreItem xmlns:ds="http://schemas.openxmlformats.org/officeDocument/2006/customXml" ds:itemID="{9639C7F6-0293-4C10-A6B1-9C7F6CCE7A8F}">
  <ds:schemaRefs>
    <ds:schemaRef ds:uri="http://schemas.microsoft.com/sharepoint/v3/contenttype/forms"/>
  </ds:schemaRefs>
</ds:datastoreItem>
</file>

<file path=customXml/itemProps2.xml><?xml version="1.0" encoding="utf-8"?>
<ds:datastoreItem xmlns:ds="http://schemas.openxmlformats.org/officeDocument/2006/customXml" ds:itemID="{9BEFD13C-84F9-4CEA-ADC8-1FD506FD5B19}">
  <ds:schemaRefs>
    <ds:schemaRef ds:uri="http://schemas.openxmlformats.org/officeDocument/2006/bibliography"/>
  </ds:schemaRefs>
</ds:datastoreItem>
</file>

<file path=customXml/itemProps3.xml><?xml version="1.0" encoding="utf-8"?>
<ds:datastoreItem xmlns:ds="http://schemas.openxmlformats.org/officeDocument/2006/customXml" ds:itemID="{96EB2469-FDC4-4970-85B6-D07D894F13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fdb834-ce3b-4077-8324-83a7edcc1ba2"/>
    <ds:schemaRef ds:uri="1a0b7172-27e7-4d2b-a19d-ec7f9fe05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A706CF-4131-4DD0-A4E0-5C19C557AD1F}">
  <ds:schemaRefs>
    <ds:schemaRef ds:uri="http://schemas.microsoft.com/office/2006/metadata/properties"/>
    <ds:schemaRef ds:uri="http://schemas.microsoft.com/office/infopath/2007/PartnerControls"/>
    <ds:schemaRef ds:uri="8bfdb834-ce3b-4077-8324-83a7edcc1ba2"/>
    <ds:schemaRef ds:uri="1a0b7172-27e7-4d2b-a19d-ec7f9fe0541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8791</Words>
  <Characters>50114</Characters>
  <Application>Microsoft Office Word</Application>
  <DocSecurity>0</DocSecurity>
  <Lines>417</Lines>
  <Paragraphs>117</Paragraphs>
  <ScaleCrop>false</ScaleCrop>
  <Company/>
  <LinksUpToDate>false</LinksUpToDate>
  <CharactersWithSpaces>58788</CharactersWithSpaces>
  <SharedDoc>false</SharedDoc>
  <HLinks>
    <vt:vector size="306" baseType="variant">
      <vt:variant>
        <vt:i4>5439558</vt:i4>
      </vt:variant>
      <vt:variant>
        <vt:i4>171</vt:i4>
      </vt:variant>
      <vt:variant>
        <vt:i4>0</vt:i4>
      </vt:variant>
      <vt:variant>
        <vt:i4>5</vt:i4>
      </vt:variant>
      <vt:variant>
        <vt:lpwstr>https://www.mass.gov/info-details/covid-19-community-impact-survey-data-dashboard</vt:lpwstr>
      </vt:variant>
      <vt:variant>
        <vt:lpwstr/>
      </vt:variant>
      <vt:variant>
        <vt:i4>524383</vt:i4>
      </vt:variant>
      <vt:variant>
        <vt:i4>168</vt:i4>
      </vt:variant>
      <vt:variant>
        <vt:i4>0</vt:i4>
      </vt:variant>
      <vt:variant>
        <vt:i4>5</vt:i4>
      </vt:variant>
      <vt:variant>
        <vt:lpwstr>https://www.cdc.gov/violenceprevention/childsexualabuse/fastfact.html</vt:lpwstr>
      </vt:variant>
      <vt:variant>
        <vt:lpwstr/>
      </vt:variant>
      <vt:variant>
        <vt:i4>8257586</vt:i4>
      </vt:variant>
      <vt:variant>
        <vt:i4>165</vt:i4>
      </vt:variant>
      <vt:variant>
        <vt:i4>0</vt:i4>
      </vt:variant>
      <vt:variant>
        <vt:i4>5</vt:i4>
      </vt:variant>
      <vt:variant>
        <vt:lpwstr>https://www.cdc.gov/violenceprevention/sexualviolence/fastfact.html</vt:lpwstr>
      </vt:variant>
      <vt:variant>
        <vt:lpwstr/>
      </vt:variant>
      <vt:variant>
        <vt:i4>4259925</vt:i4>
      </vt:variant>
      <vt:variant>
        <vt:i4>162</vt:i4>
      </vt:variant>
      <vt:variant>
        <vt:i4>0</vt:i4>
      </vt:variant>
      <vt:variant>
        <vt:i4>5</vt:i4>
      </vt:variant>
      <vt:variant>
        <vt:lpwstr>https://mass211.org/</vt:lpwstr>
      </vt:variant>
      <vt:variant>
        <vt:lpwstr/>
      </vt:variant>
      <vt:variant>
        <vt:i4>2818167</vt:i4>
      </vt:variant>
      <vt:variant>
        <vt:i4>159</vt:i4>
      </vt:variant>
      <vt:variant>
        <vt:i4>0</vt:i4>
      </vt:variant>
      <vt:variant>
        <vt:i4>5</vt:i4>
      </vt:variant>
      <vt:variant>
        <vt:lpwstr>https://www.cdc.gov/violenceprevention/firearms/index.html</vt:lpwstr>
      </vt:variant>
      <vt:variant>
        <vt:lpwstr/>
      </vt:variant>
      <vt:variant>
        <vt:i4>7143460</vt:i4>
      </vt:variant>
      <vt:variant>
        <vt:i4>156</vt:i4>
      </vt:variant>
      <vt:variant>
        <vt:i4>0</vt:i4>
      </vt:variant>
      <vt:variant>
        <vt:i4>5</vt:i4>
      </vt:variant>
      <vt:variant>
        <vt:lpwstr>https://www.cdc.gov/violenceprevention/youthviolence/fastfact.html</vt:lpwstr>
      </vt:variant>
      <vt:variant>
        <vt:lpwstr/>
      </vt:variant>
      <vt:variant>
        <vt:i4>524309</vt:i4>
      </vt:variant>
      <vt:variant>
        <vt:i4>153</vt:i4>
      </vt:variant>
      <vt:variant>
        <vt:i4>0</vt:i4>
      </vt:variant>
      <vt:variant>
        <vt:i4>5</vt:i4>
      </vt:variant>
      <vt:variant>
        <vt:lpwstr>https://www.cdc.gov/injury/features/intimate-partner-violence/index.html</vt:lpwstr>
      </vt:variant>
      <vt:variant>
        <vt:lpwstr/>
      </vt:variant>
      <vt:variant>
        <vt:i4>1769539</vt:i4>
      </vt:variant>
      <vt:variant>
        <vt:i4>150</vt:i4>
      </vt:variant>
      <vt:variant>
        <vt:i4>0</vt:i4>
      </vt:variant>
      <vt:variant>
        <vt:i4>5</vt:i4>
      </vt:variant>
      <vt:variant>
        <vt:lpwstr>https://www.cdc.gov/violenceprevention/childabuseandneglect/fastfact.html</vt:lpwstr>
      </vt:variant>
      <vt:variant>
        <vt:lpwstr/>
      </vt:variant>
      <vt:variant>
        <vt:i4>2818090</vt:i4>
      </vt:variant>
      <vt:variant>
        <vt:i4>147</vt:i4>
      </vt:variant>
      <vt:variant>
        <vt:i4>0</vt:i4>
      </vt:variant>
      <vt:variant>
        <vt:i4>5</vt:i4>
      </vt:variant>
      <vt:variant>
        <vt:lpwstr>https://www.cdc.gov/healthyyouth/safe-supportive-environments/pd-lgbtq.htm</vt:lpwstr>
      </vt:variant>
      <vt:variant>
        <vt:lpwstr/>
      </vt:variant>
      <vt:variant>
        <vt:i4>1179670</vt:i4>
      </vt:variant>
      <vt:variant>
        <vt:i4>144</vt:i4>
      </vt:variant>
      <vt:variant>
        <vt:i4>0</vt:i4>
      </vt:variant>
      <vt:variant>
        <vt:i4>5</vt:i4>
      </vt:variant>
      <vt:variant>
        <vt:lpwstr>https://www.cdc.gov/minorityhealth/racism-disparities/index.html</vt:lpwstr>
      </vt:variant>
      <vt:variant>
        <vt:lpwstr/>
      </vt:variant>
      <vt:variant>
        <vt:i4>7274601</vt:i4>
      </vt:variant>
      <vt:variant>
        <vt:i4>141</vt:i4>
      </vt:variant>
      <vt:variant>
        <vt:i4>0</vt:i4>
      </vt:variant>
      <vt:variant>
        <vt:i4>5</vt:i4>
      </vt:variant>
      <vt:variant>
        <vt:lpwstr>https://www.cdc.gov/violenceprevention/intimatepartnerviolence/teendatingviolence/fastfact.html</vt:lpwstr>
      </vt:variant>
      <vt:variant>
        <vt:lpwstr/>
      </vt:variant>
      <vt:variant>
        <vt:i4>1245260</vt:i4>
      </vt:variant>
      <vt:variant>
        <vt:i4>138</vt:i4>
      </vt:variant>
      <vt:variant>
        <vt:i4>0</vt:i4>
      </vt:variant>
      <vt:variant>
        <vt:i4>5</vt:i4>
      </vt:variant>
      <vt:variant>
        <vt:lpwstr>https://www.cdc.gov/violenceprevention/intimatepartnerviolence/fastfact.html</vt:lpwstr>
      </vt:variant>
      <vt:variant>
        <vt:lpwstr/>
      </vt:variant>
      <vt:variant>
        <vt:i4>3407987</vt:i4>
      </vt:variant>
      <vt:variant>
        <vt:i4>135</vt:i4>
      </vt:variant>
      <vt:variant>
        <vt:i4>0</vt:i4>
      </vt:variant>
      <vt:variant>
        <vt:i4>5</vt:i4>
      </vt:variant>
      <vt:variant>
        <vt:lpwstr>https://www.cdc.gov/violenceprevention/communityviolence/index.html</vt:lpwstr>
      </vt:variant>
      <vt:variant>
        <vt:lpwstr/>
      </vt:variant>
      <vt:variant>
        <vt:i4>8061030</vt:i4>
      </vt:variant>
      <vt:variant>
        <vt:i4>132</vt:i4>
      </vt:variant>
      <vt:variant>
        <vt:i4>0</vt:i4>
      </vt:variant>
      <vt:variant>
        <vt:i4>5</vt:i4>
      </vt:variant>
      <vt:variant>
        <vt:lpwstr>https://www.cdc.gov/violenceprevention/youthviolence/bullyingresearch/fastfact.html</vt:lpwstr>
      </vt:variant>
      <vt:variant>
        <vt:lpwstr/>
      </vt:variant>
      <vt:variant>
        <vt:i4>1048649</vt:i4>
      </vt:variant>
      <vt:variant>
        <vt:i4>129</vt:i4>
      </vt:variant>
      <vt:variant>
        <vt:i4>0</vt:i4>
      </vt:variant>
      <vt:variant>
        <vt:i4>5</vt:i4>
      </vt:variant>
      <vt:variant>
        <vt:lpwstr>https://www.mass.gov/the-power-of-positive-childhood-experiences</vt:lpwstr>
      </vt:variant>
      <vt:variant>
        <vt:lpwstr/>
      </vt:variant>
      <vt:variant>
        <vt:i4>3145760</vt:i4>
      </vt:variant>
      <vt:variant>
        <vt:i4>126</vt:i4>
      </vt:variant>
      <vt:variant>
        <vt:i4>0</vt:i4>
      </vt:variant>
      <vt:variant>
        <vt:i4>5</vt:i4>
      </vt:variant>
      <vt:variant>
        <vt:lpwstr>http://positiveexperiences.org/</vt:lpwstr>
      </vt:variant>
      <vt:variant>
        <vt:lpwstr/>
      </vt:variant>
      <vt:variant>
        <vt:i4>2883639</vt:i4>
      </vt:variant>
      <vt:variant>
        <vt:i4>123</vt:i4>
      </vt:variant>
      <vt:variant>
        <vt:i4>0</vt:i4>
      </vt:variant>
      <vt:variant>
        <vt:i4>5</vt:i4>
      </vt:variant>
      <vt:variant>
        <vt:lpwstr/>
      </vt:variant>
      <vt:variant>
        <vt:lpwstr>_Confidence_Intervals</vt:lpwstr>
      </vt:variant>
      <vt:variant>
        <vt:i4>65660</vt:i4>
      </vt:variant>
      <vt:variant>
        <vt:i4>120</vt:i4>
      </vt:variant>
      <vt:variant>
        <vt:i4>0</vt:i4>
      </vt:variant>
      <vt:variant>
        <vt:i4>5</vt:i4>
      </vt:variant>
      <vt:variant>
        <vt:lpwstr>bookmark://_About_the_Data/</vt:lpwstr>
      </vt:variant>
      <vt:variant>
        <vt:lpwstr/>
      </vt:variant>
      <vt:variant>
        <vt:i4>2752549</vt:i4>
      </vt:variant>
      <vt:variant>
        <vt:i4>117</vt:i4>
      </vt:variant>
      <vt:variant>
        <vt:i4>0</vt:i4>
      </vt:variant>
      <vt:variant>
        <vt:i4>5</vt:i4>
      </vt:variant>
      <vt:variant>
        <vt:lpwstr>https://www.mass.gov/lists/massachusetts-youth-health-survey-myhs%22 /l %22methodology-</vt:lpwstr>
      </vt:variant>
      <vt:variant>
        <vt:lpwstr/>
      </vt:variant>
      <vt:variant>
        <vt:i4>540737626</vt:i4>
      </vt:variant>
      <vt:variant>
        <vt:i4>114</vt:i4>
      </vt:variant>
      <vt:variant>
        <vt:i4>0</vt:i4>
      </vt:variant>
      <vt:variant>
        <vt:i4>5</vt:i4>
      </vt:variant>
      <vt:variant>
        <vt:lpwstr/>
      </vt:variant>
      <vt:variant>
        <vt:lpwstr>_View_Topic_Questions </vt:lpwstr>
      </vt:variant>
      <vt:variant>
        <vt:i4>8060993</vt:i4>
      </vt:variant>
      <vt:variant>
        <vt:i4>111</vt:i4>
      </vt:variant>
      <vt:variant>
        <vt:i4>0</vt:i4>
      </vt:variant>
      <vt:variant>
        <vt:i4>5</vt:i4>
      </vt:variant>
      <vt:variant>
        <vt:lpwstr/>
      </vt:variant>
      <vt:variant>
        <vt:lpwstr>_About_the_Data</vt:lpwstr>
      </vt:variant>
      <vt:variant>
        <vt:i4>6750286</vt:i4>
      </vt:variant>
      <vt:variant>
        <vt:i4>108</vt:i4>
      </vt:variant>
      <vt:variant>
        <vt:i4>0</vt:i4>
      </vt:variant>
      <vt:variant>
        <vt:i4>5</vt:i4>
      </vt:variant>
      <vt:variant>
        <vt:lpwstr/>
      </vt:variant>
      <vt:variant>
        <vt:lpwstr>_Filtering_for_Experiences</vt:lpwstr>
      </vt:variant>
      <vt:variant>
        <vt:i4>1114162</vt:i4>
      </vt:variant>
      <vt:variant>
        <vt:i4>105</vt:i4>
      </vt:variant>
      <vt:variant>
        <vt:i4>0</vt:i4>
      </vt:variant>
      <vt:variant>
        <vt:i4>5</vt:i4>
      </vt:variant>
      <vt:variant>
        <vt:lpwstr/>
      </vt:variant>
      <vt:variant>
        <vt:lpwstr>_Filtering_for_Survey</vt:lpwstr>
      </vt:variant>
      <vt:variant>
        <vt:i4>2228253</vt:i4>
      </vt:variant>
      <vt:variant>
        <vt:i4>102</vt:i4>
      </vt:variant>
      <vt:variant>
        <vt:i4>0</vt:i4>
      </vt:variant>
      <vt:variant>
        <vt:i4>5</vt:i4>
      </vt:variant>
      <vt:variant>
        <vt:lpwstr/>
      </vt:variant>
      <vt:variant>
        <vt:lpwstr>_Dashboard_Features_Overview </vt:lpwstr>
      </vt:variant>
      <vt:variant>
        <vt:i4>7995467</vt:i4>
      </vt:variant>
      <vt:variant>
        <vt:i4>99</vt:i4>
      </vt:variant>
      <vt:variant>
        <vt:i4>0</vt:i4>
      </vt:variant>
      <vt:variant>
        <vt:i4>5</vt:i4>
      </vt:variant>
      <vt:variant>
        <vt:lpwstr/>
      </vt:variant>
      <vt:variant>
        <vt:lpwstr>_Using_the_Data</vt:lpwstr>
      </vt:variant>
      <vt:variant>
        <vt:i4>1769535</vt:i4>
      </vt:variant>
      <vt:variant>
        <vt:i4>92</vt:i4>
      </vt:variant>
      <vt:variant>
        <vt:i4>0</vt:i4>
      </vt:variant>
      <vt:variant>
        <vt:i4>5</vt:i4>
      </vt:variant>
      <vt:variant>
        <vt:lpwstr/>
      </vt:variant>
      <vt:variant>
        <vt:lpwstr>_Toc143090482</vt:lpwstr>
      </vt:variant>
      <vt:variant>
        <vt:i4>1769535</vt:i4>
      </vt:variant>
      <vt:variant>
        <vt:i4>86</vt:i4>
      </vt:variant>
      <vt:variant>
        <vt:i4>0</vt:i4>
      </vt:variant>
      <vt:variant>
        <vt:i4>5</vt:i4>
      </vt:variant>
      <vt:variant>
        <vt:lpwstr/>
      </vt:variant>
      <vt:variant>
        <vt:lpwstr>_Toc143090481</vt:lpwstr>
      </vt:variant>
      <vt:variant>
        <vt:i4>1769535</vt:i4>
      </vt:variant>
      <vt:variant>
        <vt:i4>80</vt:i4>
      </vt:variant>
      <vt:variant>
        <vt:i4>0</vt:i4>
      </vt:variant>
      <vt:variant>
        <vt:i4>5</vt:i4>
      </vt:variant>
      <vt:variant>
        <vt:lpwstr/>
      </vt:variant>
      <vt:variant>
        <vt:lpwstr>_Toc143090480</vt:lpwstr>
      </vt:variant>
      <vt:variant>
        <vt:i4>1310783</vt:i4>
      </vt:variant>
      <vt:variant>
        <vt:i4>74</vt:i4>
      </vt:variant>
      <vt:variant>
        <vt:i4>0</vt:i4>
      </vt:variant>
      <vt:variant>
        <vt:i4>5</vt:i4>
      </vt:variant>
      <vt:variant>
        <vt:lpwstr/>
      </vt:variant>
      <vt:variant>
        <vt:lpwstr>_Toc143090479</vt:lpwstr>
      </vt:variant>
      <vt:variant>
        <vt:i4>1310783</vt:i4>
      </vt:variant>
      <vt:variant>
        <vt:i4>68</vt:i4>
      </vt:variant>
      <vt:variant>
        <vt:i4>0</vt:i4>
      </vt:variant>
      <vt:variant>
        <vt:i4>5</vt:i4>
      </vt:variant>
      <vt:variant>
        <vt:lpwstr/>
      </vt:variant>
      <vt:variant>
        <vt:lpwstr>_Toc143090478</vt:lpwstr>
      </vt:variant>
      <vt:variant>
        <vt:i4>1310783</vt:i4>
      </vt:variant>
      <vt:variant>
        <vt:i4>62</vt:i4>
      </vt:variant>
      <vt:variant>
        <vt:i4>0</vt:i4>
      </vt:variant>
      <vt:variant>
        <vt:i4>5</vt:i4>
      </vt:variant>
      <vt:variant>
        <vt:lpwstr/>
      </vt:variant>
      <vt:variant>
        <vt:lpwstr>_Toc143090477</vt:lpwstr>
      </vt:variant>
      <vt:variant>
        <vt:i4>1310783</vt:i4>
      </vt:variant>
      <vt:variant>
        <vt:i4>56</vt:i4>
      </vt:variant>
      <vt:variant>
        <vt:i4>0</vt:i4>
      </vt:variant>
      <vt:variant>
        <vt:i4>5</vt:i4>
      </vt:variant>
      <vt:variant>
        <vt:lpwstr/>
      </vt:variant>
      <vt:variant>
        <vt:lpwstr>_Toc143090476</vt:lpwstr>
      </vt:variant>
      <vt:variant>
        <vt:i4>1310783</vt:i4>
      </vt:variant>
      <vt:variant>
        <vt:i4>50</vt:i4>
      </vt:variant>
      <vt:variant>
        <vt:i4>0</vt:i4>
      </vt:variant>
      <vt:variant>
        <vt:i4>5</vt:i4>
      </vt:variant>
      <vt:variant>
        <vt:lpwstr/>
      </vt:variant>
      <vt:variant>
        <vt:lpwstr>_Toc143090475</vt:lpwstr>
      </vt:variant>
      <vt:variant>
        <vt:i4>1310783</vt:i4>
      </vt:variant>
      <vt:variant>
        <vt:i4>44</vt:i4>
      </vt:variant>
      <vt:variant>
        <vt:i4>0</vt:i4>
      </vt:variant>
      <vt:variant>
        <vt:i4>5</vt:i4>
      </vt:variant>
      <vt:variant>
        <vt:lpwstr/>
      </vt:variant>
      <vt:variant>
        <vt:lpwstr>_Toc143090474</vt:lpwstr>
      </vt:variant>
      <vt:variant>
        <vt:i4>1310783</vt:i4>
      </vt:variant>
      <vt:variant>
        <vt:i4>38</vt:i4>
      </vt:variant>
      <vt:variant>
        <vt:i4>0</vt:i4>
      </vt:variant>
      <vt:variant>
        <vt:i4>5</vt:i4>
      </vt:variant>
      <vt:variant>
        <vt:lpwstr/>
      </vt:variant>
      <vt:variant>
        <vt:lpwstr>_Toc143090473</vt:lpwstr>
      </vt:variant>
      <vt:variant>
        <vt:i4>1310783</vt:i4>
      </vt:variant>
      <vt:variant>
        <vt:i4>32</vt:i4>
      </vt:variant>
      <vt:variant>
        <vt:i4>0</vt:i4>
      </vt:variant>
      <vt:variant>
        <vt:i4>5</vt:i4>
      </vt:variant>
      <vt:variant>
        <vt:lpwstr/>
      </vt:variant>
      <vt:variant>
        <vt:lpwstr>_Toc143090472</vt:lpwstr>
      </vt:variant>
      <vt:variant>
        <vt:i4>1310783</vt:i4>
      </vt:variant>
      <vt:variant>
        <vt:i4>26</vt:i4>
      </vt:variant>
      <vt:variant>
        <vt:i4>0</vt:i4>
      </vt:variant>
      <vt:variant>
        <vt:i4>5</vt:i4>
      </vt:variant>
      <vt:variant>
        <vt:lpwstr/>
      </vt:variant>
      <vt:variant>
        <vt:lpwstr>_Toc143090471</vt:lpwstr>
      </vt:variant>
      <vt:variant>
        <vt:i4>1310783</vt:i4>
      </vt:variant>
      <vt:variant>
        <vt:i4>20</vt:i4>
      </vt:variant>
      <vt:variant>
        <vt:i4>0</vt:i4>
      </vt:variant>
      <vt:variant>
        <vt:i4>5</vt:i4>
      </vt:variant>
      <vt:variant>
        <vt:lpwstr/>
      </vt:variant>
      <vt:variant>
        <vt:lpwstr>_Toc143090470</vt:lpwstr>
      </vt:variant>
      <vt:variant>
        <vt:i4>1376319</vt:i4>
      </vt:variant>
      <vt:variant>
        <vt:i4>14</vt:i4>
      </vt:variant>
      <vt:variant>
        <vt:i4>0</vt:i4>
      </vt:variant>
      <vt:variant>
        <vt:i4>5</vt:i4>
      </vt:variant>
      <vt:variant>
        <vt:lpwstr/>
      </vt:variant>
      <vt:variant>
        <vt:lpwstr>_Toc143090469</vt:lpwstr>
      </vt:variant>
      <vt:variant>
        <vt:i4>1376319</vt:i4>
      </vt:variant>
      <vt:variant>
        <vt:i4>8</vt:i4>
      </vt:variant>
      <vt:variant>
        <vt:i4>0</vt:i4>
      </vt:variant>
      <vt:variant>
        <vt:i4>5</vt:i4>
      </vt:variant>
      <vt:variant>
        <vt:lpwstr/>
      </vt:variant>
      <vt:variant>
        <vt:lpwstr>_Toc143090468</vt:lpwstr>
      </vt:variant>
      <vt:variant>
        <vt:i4>1376319</vt:i4>
      </vt:variant>
      <vt:variant>
        <vt:i4>2</vt:i4>
      </vt:variant>
      <vt:variant>
        <vt:i4>0</vt:i4>
      </vt:variant>
      <vt:variant>
        <vt:i4>5</vt:i4>
      </vt:variant>
      <vt:variant>
        <vt:lpwstr/>
      </vt:variant>
      <vt:variant>
        <vt:lpwstr>_Toc143090467</vt:lpwstr>
      </vt:variant>
      <vt:variant>
        <vt:i4>3342413</vt:i4>
      </vt:variant>
      <vt:variant>
        <vt:i4>27</vt:i4>
      </vt:variant>
      <vt:variant>
        <vt:i4>0</vt:i4>
      </vt:variant>
      <vt:variant>
        <vt:i4>5</vt:i4>
      </vt:variant>
      <vt:variant>
        <vt:lpwstr>mailto:Lindsey.Sagasta@mass.gov</vt:lpwstr>
      </vt:variant>
      <vt:variant>
        <vt:lpwstr/>
      </vt:variant>
      <vt:variant>
        <vt:i4>1245295</vt:i4>
      </vt:variant>
      <vt:variant>
        <vt:i4>24</vt:i4>
      </vt:variant>
      <vt:variant>
        <vt:i4>0</vt:i4>
      </vt:variant>
      <vt:variant>
        <vt:i4>5</vt:i4>
      </vt:variant>
      <vt:variant>
        <vt:lpwstr>mailto:vera.mouradian@mass.gov</vt:lpwstr>
      </vt:variant>
      <vt:variant>
        <vt:lpwstr/>
      </vt:variant>
      <vt:variant>
        <vt:i4>4849713</vt:i4>
      </vt:variant>
      <vt:variant>
        <vt:i4>21</vt:i4>
      </vt:variant>
      <vt:variant>
        <vt:i4>0</vt:i4>
      </vt:variant>
      <vt:variant>
        <vt:i4>5</vt:i4>
      </vt:variant>
      <vt:variant>
        <vt:lpwstr>mailto:maria.mckenna@mass.gov</vt:lpwstr>
      </vt:variant>
      <vt:variant>
        <vt:lpwstr/>
      </vt:variant>
      <vt:variant>
        <vt:i4>1245295</vt:i4>
      </vt:variant>
      <vt:variant>
        <vt:i4>18</vt:i4>
      </vt:variant>
      <vt:variant>
        <vt:i4>0</vt:i4>
      </vt:variant>
      <vt:variant>
        <vt:i4>5</vt:i4>
      </vt:variant>
      <vt:variant>
        <vt:lpwstr>mailto:vera.mouradian@mass.gov</vt:lpwstr>
      </vt:variant>
      <vt:variant>
        <vt:lpwstr/>
      </vt:variant>
      <vt:variant>
        <vt:i4>4849713</vt:i4>
      </vt:variant>
      <vt:variant>
        <vt:i4>15</vt:i4>
      </vt:variant>
      <vt:variant>
        <vt:i4>0</vt:i4>
      </vt:variant>
      <vt:variant>
        <vt:i4>5</vt:i4>
      </vt:variant>
      <vt:variant>
        <vt:lpwstr>mailto:maria.mckenna@mass.gov</vt:lpwstr>
      </vt:variant>
      <vt:variant>
        <vt:lpwstr/>
      </vt:variant>
      <vt:variant>
        <vt:i4>3342413</vt:i4>
      </vt:variant>
      <vt:variant>
        <vt:i4>12</vt:i4>
      </vt:variant>
      <vt:variant>
        <vt:i4>0</vt:i4>
      </vt:variant>
      <vt:variant>
        <vt:i4>5</vt:i4>
      </vt:variant>
      <vt:variant>
        <vt:lpwstr>mailto:Lindsey.Sagasta@mass.gov</vt:lpwstr>
      </vt:variant>
      <vt:variant>
        <vt:lpwstr/>
      </vt:variant>
      <vt:variant>
        <vt:i4>3342413</vt:i4>
      </vt:variant>
      <vt:variant>
        <vt:i4>9</vt:i4>
      </vt:variant>
      <vt:variant>
        <vt:i4>0</vt:i4>
      </vt:variant>
      <vt:variant>
        <vt:i4>5</vt:i4>
      </vt:variant>
      <vt:variant>
        <vt:lpwstr>mailto:Lindsey.Sagasta@mass.gov</vt:lpwstr>
      </vt:variant>
      <vt:variant>
        <vt:lpwstr/>
      </vt:variant>
      <vt:variant>
        <vt:i4>3342413</vt:i4>
      </vt:variant>
      <vt:variant>
        <vt:i4>6</vt:i4>
      </vt:variant>
      <vt:variant>
        <vt:i4>0</vt:i4>
      </vt:variant>
      <vt:variant>
        <vt:i4>5</vt:i4>
      </vt:variant>
      <vt:variant>
        <vt:lpwstr>mailto:Lindsey.Sagasta@mass.gov</vt:lpwstr>
      </vt:variant>
      <vt:variant>
        <vt:lpwstr/>
      </vt:variant>
      <vt:variant>
        <vt:i4>3342413</vt:i4>
      </vt:variant>
      <vt:variant>
        <vt:i4>3</vt:i4>
      </vt:variant>
      <vt:variant>
        <vt:i4>0</vt:i4>
      </vt:variant>
      <vt:variant>
        <vt:i4>5</vt:i4>
      </vt:variant>
      <vt:variant>
        <vt:lpwstr>mailto:Lindsey.Sagasta@mass.gov</vt:lpwstr>
      </vt:variant>
      <vt:variant>
        <vt:lpwstr/>
      </vt:variant>
      <vt:variant>
        <vt:i4>3342413</vt:i4>
      </vt:variant>
      <vt:variant>
        <vt:i4>0</vt:i4>
      </vt:variant>
      <vt:variant>
        <vt:i4>0</vt:i4>
      </vt:variant>
      <vt:variant>
        <vt:i4>5</vt:i4>
      </vt:variant>
      <vt:variant>
        <vt:lpwstr>mailto:Lindsey.Sagasta@mass.gov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Sagasta</dc:creator>
  <cp:keywords/>
  <dc:description/>
  <cp:lastModifiedBy>Truong, Tam (DPH)</cp:lastModifiedBy>
  <cp:revision>2</cp:revision>
  <dcterms:created xsi:type="dcterms:W3CDTF">2024-01-08T22:21:00Z</dcterms:created>
  <dcterms:modified xsi:type="dcterms:W3CDTF">2024-01-08T22:21:00Z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4e968e99c857e6a9c1a17218cc2695f90bd0477329f0417f8fc8a426323aa1bd</vt:lpwstr>
  </property>
  <property fmtid="{D5CDD505-2E9C-101B-9397-08002B2CF9AE}" pid="3" name="ContentTypeId">
    <vt:lpwstr>0x010100870C5EA969F84D4EA1049FAF6A0D3A50</vt:lpwstr>
  </property>
  <property fmtid="{D5CDD505-2E9C-101B-9397-08002B2CF9AE}" pid="4" name="MediaServiceImageTags">
    <vt:lpwstr/>
  </property>
</Properties>
</file>