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7"/>
        <w:rPr>
          <w:sz w:val="16"/>
        </w:rPr>
      </w:pPr>
    </w:p>
    <w:p>
      <w:pPr>
        <w:spacing w:after="0"/>
        <w:rPr>
          <w:sz w:val="16"/>
        </w:rPr>
        <w:sectPr>
          <w:type w:val="continuous"/>
          <w:pgSz w:w="12240" w:h="15840"/>
          <w:pgMar w:top="200" w:bottom="280" w:left="640" w:right="260"/>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spacing w:line="185" w:lineRule="exact" w:before="117"/>
        <w:ind w:left="98" w:right="34" w:firstLine="0"/>
        <w:jc w:val="center"/>
        <w:rPr>
          <w:rFonts w:ascii="Arial Rounded MT Bold"/>
          <w:sz w:val="16"/>
        </w:rPr>
      </w:pPr>
      <w:r>
        <w:rPr/>
        <w:drawing>
          <wp:anchor distT="0" distB="0" distL="0" distR="0" allowOverlap="1" layoutInCell="1" locked="0" behindDoc="0" simplePos="0" relativeHeight="15729664">
            <wp:simplePos x="0" y="0"/>
            <wp:positionH relativeFrom="page">
              <wp:posOffset>612799</wp:posOffset>
            </wp:positionH>
            <wp:positionV relativeFrom="paragraph">
              <wp:posOffset>-1191214</wp:posOffset>
            </wp:positionV>
            <wp:extent cx="897377" cy="106794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97377" cy="1067947"/>
                    </a:xfrm>
                    <a:prstGeom prst="rect">
                      <a:avLst/>
                    </a:prstGeom>
                  </pic:spPr>
                </pic:pic>
              </a:graphicData>
            </a:graphic>
          </wp:anchor>
        </w:drawing>
      </w:r>
      <w:r>
        <w:rPr>
          <w:rFonts w:ascii="Arial Rounded MT Bold"/>
          <w:sz w:val="16"/>
        </w:rPr>
        <w:t>MAURA</w:t>
      </w:r>
      <w:r>
        <w:rPr>
          <w:rFonts w:ascii="Arial Rounded MT Bold"/>
          <w:spacing w:val="-6"/>
          <w:sz w:val="16"/>
        </w:rPr>
        <w:t> </w:t>
      </w:r>
      <w:r>
        <w:rPr>
          <w:rFonts w:ascii="Arial Rounded MT Bold"/>
          <w:sz w:val="16"/>
        </w:rPr>
        <w:t>T.</w:t>
      </w:r>
      <w:r>
        <w:rPr>
          <w:rFonts w:ascii="Arial Rounded MT Bold"/>
          <w:spacing w:val="-5"/>
          <w:sz w:val="16"/>
        </w:rPr>
        <w:t> </w:t>
      </w:r>
      <w:r>
        <w:rPr>
          <w:rFonts w:ascii="Arial Rounded MT Bold"/>
          <w:spacing w:val="-2"/>
          <w:sz w:val="16"/>
        </w:rPr>
        <w:t>HEALEY</w:t>
      </w:r>
    </w:p>
    <w:p>
      <w:pPr>
        <w:spacing w:line="162" w:lineRule="exact" w:before="0"/>
        <w:ind w:left="99" w:right="33" w:firstLine="0"/>
        <w:jc w:val="center"/>
        <w:rPr>
          <w:rFonts w:ascii="Arial Rounded MT Bold"/>
          <w:sz w:val="14"/>
        </w:rPr>
      </w:pPr>
      <w:r>
        <w:rPr>
          <w:rFonts w:ascii="Arial Rounded MT Bold"/>
          <w:spacing w:val="-2"/>
          <w:sz w:val="14"/>
        </w:rPr>
        <w:t>Governor</w:t>
      </w:r>
    </w:p>
    <w:p>
      <w:pPr>
        <w:spacing w:line="185" w:lineRule="exact" w:before="121"/>
        <w:ind w:left="99" w:right="34" w:firstLine="0"/>
        <w:jc w:val="center"/>
        <w:rPr>
          <w:rFonts w:ascii="Arial Rounded MT Bold"/>
          <w:sz w:val="16"/>
        </w:rPr>
      </w:pPr>
      <w:r>
        <w:rPr>
          <w:rFonts w:ascii="Arial Rounded MT Bold"/>
          <w:spacing w:val="-2"/>
          <w:sz w:val="16"/>
        </w:rPr>
        <w:t>KIMBERLEY</w:t>
      </w:r>
      <w:r>
        <w:rPr>
          <w:rFonts w:ascii="Arial Rounded MT Bold"/>
          <w:spacing w:val="6"/>
          <w:sz w:val="16"/>
        </w:rPr>
        <w:t> </w:t>
      </w:r>
      <w:r>
        <w:rPr>
          <w:rFonts w:ascii="Arial Rounded MT Bold"/>
          <w:spacing w:val="-2"/>
          <w:sz w:val="16"/>
        </w:rPr>
        <w:t>DRISCOLL</w:t>
      </w:r>
    </w:p>
    <w:p>
      <w:pPr>
        <w:spacing w:line="162" w:lineRule="exact" w:before="0"/>
        <w:ind w:left="99" w:right="30" w:firstLine="0"/>
        <w:jc w:val="center"/>
        <w:rPr>
          <w:rFonts w:ascii="Arial Rounded MT Bold"/>
          <w:sz w:val="14"/>
        </w:rPr>
      </w:pPr>
      <w:r>
        <w:rPr>
          <w:rFonts w:ascii="Arial Rounded MT Bold"/>
          <w:sz w:val="14"/>
        </w:rPr>
        <w:t>Lieutenant</w:t>
      </w:r>
      <w:r>
        <w:rPr>
          <w:rFonts w:ascii="Arial Rounded MT Bold"/>
          <w:spacing w:val="-7"/>
          <w:sz w:val="14"/>
        </w:rPr>
        <w:t> </w:t>
      </w:r>
      <w:r>
        <w:rPr>
          <w:rFonts w:ascii="Arial Rounded MT Bold"/>
          <w:spacing w:val="-2"/>
          <w:sz w:val="14"/>
        </w:rPr>
        <w:t>Governor</w:t>
      </w:r>
    </w:p>
    <w:p>
      <w:pPr>
        <w:pStyle w:val="Title"/>
      </w:pPr>
      <w:r>
        <w:rPr/>
        <w:br w:type="column"/>
      </w:r>
      <w:r>
        <w:rPr/>
        <w:t>The</w:t>
      </w:r>
      <w:r>
        <w:rPr>
          <w:spacing w:val="-5"/>
        </w:rPr>
        <w:t> </w:t>
      </w:r>
      <w:r>
        <w:rPr/>
        <w:t>Commonwealth</w:t>
      </w:r>
      <w:r>
        <w:rPr>
          <w:spacing w:val="-3"/>
        </w:rPr>
        <w:t> </w:t>
      </w:r>
      <w:r>
        <w:rPr/>
        <w:t>of</w:t>
      </w:r>
      <w:r>
        <w:rPr>
          <w:spacing w:val="-2"/>
        </w:rPr>
        <w:t> Massachusetts</w:t>
      </w:r>
    </w:p>
    <w:p>
      <w:pPr>
        <w:pStyle w:val="Heading1"/>
        <w:ind w:left="1414" w:hanging="1198"/>
      </w:pPr>
      <w:r>
        <w:rPr/>
        <w:t>Executive</w:t>
      </w:r>
      <w:r>
        <w:rPr>
          <w:spacing w:val="-7"/>
        </w:rPr>
        <w:t> </w:t>
      </w:r>
      <w:r>
        <w:rPr/>
        <w:t>Office</w:t>
      </w:r>
      <w:r>
        <w:rPr>
          <w:spacing w:val="-6"/>
        </w:rPr>
        <w:t> </w:t>
      </w:r>
      <w:r>
        <w:rPr/>
        <w:t>of</w:t>
      </w:r>
      <w:r>
        <w:rPr>
          <w:spacing w:val="-8"/>
        </w:rPr>
        <w:t> </w:t>
      </w:r>
      <w:r>
        <w:rPr/>
        <w:t>Health</w:t>
      </w:r>
      <w:r>
        <w:rPr>
          <w:spacing w:val="-6"/>
        </w:rPr>
        <w:t> </w:t>
      </w:r>
      <w:r>
        <w:rPr/>
        <w:t>and</w:t>
      </w:r>
      <w:r>
        <w:rPr>
          <w:spacing w:val="-6"/>
        </w:rPr>
        <w:t> </w:t>
      </w:r>
      <w:r>
        <w:rPr/>
        <w:t>Human</w:t>
      </w:r>
      <w:r>
        <w:rPr>
          <w:spacing w:val="-6"/>
        </w:rPr>
        <w:t> </w:t>
      </w:r>
      <w:r>
        <w:rPr/>
        <w:t>Services Department of Public Health</w:t>
      </w:r>
    </w:p>
    <w:p>
      <w:pPr>
        <w:spacing w:line="321" w:lineRule="exact" w:before="0"/>
        <w:ind w:left="153" w:right="0" w:firstLine="0"/>
        <w:jc w:val="left"/>
        <w:rPr>
          <w:rFonts w:ascii="Arial"/>
          <w:sz w:val="28"/>
        </w:rPr>
      </w:pPr>
      <w:r>
        <w:rPr/>
        <w:pict>
          <v:shapetype id="_x0000_t202" o:spt="202" coordsize="21600,21600" path="m,l,21600r21600,l21600,xe">
            <v:stroke joinstyle="miter"/>
            <v:path gradientshapeok="t" o:connecttype="rect"/>
          </v:shapetype>
          <v:shape style="position:absolute;margin-left:460.090668pt;margin-top:.438863pt;width:7.75pt;height:15.65pt;mso-position-horizontal-relative:page;mso-position-vertical-relative:paragraph;z-index:-15802368" type="#_x0000_t202" id="docshape1" filled="false" stroked="false">
            <v:textbox inset="0,0,0,0">
              <w:txbxContent>
                <w:p>
                  <w:pPr>
                    <w:spacing w:line="312" w:lineRule="exact" w:before="0"/>
                    <w:ind w:left="0" w:right="0" w:firstLine="0"/>
                    <w:jc w:val="left"/>
                    <w:rPr>
                      <w:rFonts w:ascii="Arial"/>
                      <w:sz w:val="28"/>
                    </w:rPr>
                  </w:pPr>
                  <w:r>
                    <w:rPr>
                      <w:rFonts w:ascii="Arial"/>
                      <w:spacing w:val="-1"/>
                      <w:w w:val="99"/>
                      <w:sz w:val="28"/>
                    </w:rPr>
                    <w:t>9</w:t>
                  </w:r>
                </w:p>
              </w:txbxContent>
            </v:textbox>
            <w10:wrap type="none"/>
          </v:shape>
        </w:pict>
      </w:r>
      <w:r>
        <w:rPr/>
        <w:pict>
          <v:rect style="position:absolute;margin-left:461.600006pt;margin-top:8.074585pt;width:142.85pt;height:89.45pt;mso-position-horizontal-relative:page;mso-position-vertical-relative:paragraph;z-index:-15801344" id="docshape2" filled="true" fillcolor="#ffffff" stroked="false">
            <v:fill type="solid"/>
            <w10:wrap type="none"/>
          </v:rect>
        </w:pict>
      </w:r>
      <w:r>
        <w:rPr>
          <w:rFonts w:ascii="Arial"/>
          <w:sz w:val="28"/>
        </w:rPr>
        <w:t>250</w:t>
      </w:r>
      <w:r>
        <w:rPr>
          <w:rFonts w:ascii="Arial"/>
          <w:spacing w:val="-12"/>
          <w:sz w:val="28"/>
        </w:rPr>
        <w:t> </w:t>
      </w:r>
      <w:r>
        <w:rPr>
          <w:rFonts w:ascii="Arial"/>
          <w:sz w:val="28"/>
        </w:rPr>
        <w:t>Washington</w:t>
      </w:r>
      <w:r>
        <w:rPr>
          <w:rFonts w:ascii="Arial"/>
          <w:spacing w:val="-11"/>
          <w:sz w:val="28"/>
        </w:rPr>
        <w:t> </w:t>
      </w:r>
      <w:r>
        <w:rPr>
          <w:rFonts w:ascii="Arial"/>
          <w:sz w:val="28"/>
        </w:rPr>
        <w:t>Street,</w:t>
      </w:r>
      <w:r>
        <w:rPr>
          <w:rFonts w:ascii="Arial"/>
          <w:spacing w:val="-11"/>
          <w:sz w:val="28"/>
        </w:rPr>
        <w:t> </w:t>
      </w:r>
      <w:r>
        <w:rPr>
          <w:rFonts w:ascii="Arial"/>
          <w:sz w:val="28"/>
        </w:rPr>
        <w:t>Boston,</w:t>
      </w:r>
      <w:r>
        <w:rPr>
          <w:rFonts w:ascii="Arial"/>
          <w:spacing w:val="-12"/>
          <w:sz w:val="28"/>
        </w:rPr>
        <w:t> </w:t>
      </w:r>
      <w:r>
        <w:rPr>
          <w:rFonts w:ascii="Arial"/>
          <w:sz w:val="28"/>
        </w:rPr>
        <w:t>MA</w:t>
      </w:r>
      <w:r>
        <w:rPr>
          <w:rFonts w:ascii="Arial"/>
          <w:spacing w:val="-12"/>
          <w:sz w:val="28"/>
        </w:rPr>
        <w:t> </w:t>
      </w:r>
      <w:r>
        <w:rPr>
          <w:rFonts w:ascii="Arial"/>
          <w:sz w:val="28"/>
        </w:rPr>
        <w:t>02108-</w:t>
      </w:r>
      <w:r>
        <w:rPr>
          <w:rFonts w:ascii="Arial"/>
          <w:spacing w:val="-5"/>
          <w:sz w:val="28"/>
        </w:rPr>
        <w:t>461</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line="185" w:lineRule="exact" w:before="117"/>
        <w:ind w:left="2" w:right="106" w:firstLine="0"/>
        <w:jc w:val="center"/>
        <w:rPr>
          <w:rFonts w:ascii="Arial Rounded MT Bold"/>
          <w:sz w:val="16"/>
        </w:rPr>
      </w:pPr>
      <w:r>
        <w:rPr>
          <w:rFonts w:ascii="Arial Rounded MT Bold"/>
          <w:sz w:val="16"/>
        </w:rPr>
        <w:t>KATHLEEN</w:t>
      </w:r>
      <w:r>
        <w:rPr>
          <w:rFonts w:ascii="Arial Rounded MT Bold"/>
          <w:spacing w:val="-8"/>
          <w:sz w:val="16"/>
        </w:rPr>
        <w:t> </w:t>
      </w:r>
      <w:r>
        <w:rPr>
          <w:rFonts w:ascii="Arial Rounded MT Bold"/>
          <w:sz w:val="16"/>
        </w:rPr>
        <w:t>E.</w:t>
      </w:r>
      <w:r>
        <w:rPr>
          <w:rFonts w:ascii="Arial Rounded MT Bold"/>
          <w:spacing w:val="-5"/>
          <w:sz w:val="16"/>
        </w:rPr>
        <w:t> </w:t>
      </w:r>
      <w:r>
        <w:rPr>
          <w:rFonts w:ascii="Arial Rounded MT Bold"/>
          <w:spacing w:val="-2"/>
          <w:sz w:val="16"/>
        </w:rPr>
        <w:t>WALSH</w:t>
      </w:r>
    </w:p>
    <w:p>
      <w:pPr>
        <w:spacing w:line="162" w:lineRule="exact" w:before="0"/>
        <w:ind w:left="4" w:right="106" w:firstLine="0"/>
        <w:jc w:val="center"/>
        <w:rPr>
          <w:rFonts w:ascii="Arial Rounded MT Bold"/>
          <w:sz w:val="14"/>
        </w:rPr>
      </w:pPr>
      <w:r>
        <w:rPr>
          <w:rFonts w:ascii="Arial Rounded MT Bold"/>
          <w:spacing w:val="-2"/>
          <w:sz w:val="14"/>
        </w:rPr>
        <w:t>Secretary</w:t>
      </w:r>
    </w:p>
    <w:p>
      <w:pPr>
        <w:spacing w:line="185" w:lineRule="exact" w:before="121"/>
        <w:ind w:left="4" w:right="106" w:firstLine="0"/>
        <w:jc w:val="center"/>
        <w:rPr>
          <w:rFonts w:ascii="Arial Rounded MT Bold"/>
          <w:sz w:val="16"/>
        </w:rPr>
      </w:pPr>
      <w:r>
        <w:rPr>
          <w:rFonts w:ascii="Arial Rounded MT Bold"/>
          <w:sz w:val="16"/>
        </w:rPr>
        <w:t>ROBERT</w:t>
      </w:r>
      <w:r>
        <w:rPr>
          <w:rFonts w:ascii="Arial Rounded MT Bold"/>
          <w:spacing w:val="-10"/>
          <w:sz w:val="16"/>
        </w:rPr>
        <w:t> </w:t>
      </w:r>
      <w:r>
        <w:rPr>
          <w:rFonts w:ascii="Arial Rounded MT Bold"/>
          <w:sz w:val="16"/>
        </w:rPr>
        <w:t>GOLDSTEIN,</w:t>
      </w:r>
      <w:r>
        <w:rPr>
          <w:rFonts w:ascii="Arial Rounded MT Bold"/>
          <w:spacing w:val="-8"/>
          <w:sz w:val="16"/>
        </w:rPr>
        <w:t> </w:t>
      </w:r>
      <w:r>
        <w:rPr>
          <w:rFonts w:ascii="Arial Rounded MT Bold"/>
          <w:sz w:val="16"/>
        </w:rPr>
        <w:t>MD,</w:t>
      </w:r>
      <w:r>
        <w:rPr>
          <w:rFonts w:ascii="Arial Rounded MT Bold"/>
          <w:spacing w:val="-8"/>
          <w:sz w:val="16"/>
        </w:rPr>
        <w:t> </w:t>
      </w:r>
      <w:r>
        <w:rPr>
          <w:rFonts w:ascii="Arial Rounded MT Bold"/>
          <w:spacing w:val="-5"/>
          <w:sz w:val="16"/>
        </w:rPr>
        <w:t>PhD</w:t>
      </w:r>
    </w:p>
    <w:p>
      <w:pPr>
        <w:spacing w:line="162" w:lineRule="exact" w:before="0"/>
        <w:ind w:left="4" w:right="106" w:firstLine="0"/>
        <w:jc w:val="center"/>
        <w:rPr>
          <w:rFonts w:ascii="Arial Rounded MT Bold"/>
          <w:sz w:val="14"/>
        </w:rPr>
      </w:pPr>
      <w:r>
        <w:rPr>
          <w:rFonts w:ascii="Arial Rounded MT Bold"/>
          <w:spacing w:val="-2"/>
          <w:sz w:val="14"/>
        </w:rPr>
        <w:t>Commissioner</w:t>
      </w:r>
    </w:p>
    <w:p>
      <w:pPr>
        <w:pStyle w:val="BodyText"/>
        <w:spacing w:before="11"/>
        <w:rPr>
          <w:rFonts w:ascii="Arial Rounded MT Bold"/>
          <w:sz w:val="13"/>
        </w:rPr>
      </w:pPr>
    </w:p>
    <w:p>
      <w:pPr>
        <w:spacing w:line="161" w:lineRule="exact" w:before="0"/>
        <w:ind w:left="4" w:right="106" w:firstLine="0"/>
        <w:jc w:val="center"/>
        <w:rPr>
          <w:rFonts w:ascii="Arial"/>
          <w:b/>
          <w:sz w:val="14"/>
        </w:rPr>
      </w:pPr>
      <w:r>
        <w:rPr>
          <w:rFonts w:ascii="Arial"/>
          <w:b/>
          <w:sz w:val="14"/>
        </w:rPr>
        <w:t>Tel:</w:t>
      </w:r>
      <w:r>
        <w:rPr>
          <w:rFonts w:ascii="Arial"/>
          <w:b/>
          <w:spacing w:val="-11"/>
          <w:sz w:val="14"/>
        </w:rPr>
        <w:t> </w:t>
      </w:r>
      <w:r>
        <w:rPr>
          <w:rFonts w:ascii="Arial"/>
          <w:b/>
          <w:sz w:val="14"/>
        </w:rPr>
        <w:t>617-624-</w:t>
      </w:r>
      <w:r>
        <w:rPr>
          <w:rFonts w:ascii="Arial"/>
          <w:b/>
          <w:spacing w:val="-4"/>
          <w:sz w:val="14"/>
        </w:rPr>
        <w:t>6000</w:t>
      </w:r>
    </w:p>
    <w:p>
      <w:pPr>
        <w:spacing w:before="0"/>
        <w:ind w:left="4" w:right="106" w:firstLine="0"/>
        <w:jc w:val="center"/>
        <w:rPr>
          <w:rFonts w:ascii="Arial"/>
          <w:b/>
          <w:sz w:val="14"/>
        </w:rPr>
      </w:pPr>
      <w:hyperlink r:id="rId6">
        <w:r>
          <w:rPr>
            <w:rFonts w:ascii="Arial"/>
            <w:b/>
            <w:spacing w:val="-2"/>
            <w:sz w:val="14"/>
          </w:rPr>
          <w:t>www.mass.gov/dph</w:t>
        </w:r>
      </w:hyperlink>
    </w:p>
    <w:p>
      <w:pPr>
        <w:spacing w:after="0"/>
        <w:jc w:val="center"/>
        <w:rPr>
          <w:rFonts w:ascii="Arial"/>
          <w:sz w:val="14"/>
        </w:rPr>
        <w:sectPr>
          <w:type w:val="continuous"/>
          <w:pgSz w:w="12240" w:h="15840"/>
          <w:pgMar w:top="200" w:bottom="280" w:left="640" w:right="260"/>
          <w:cols w:num="3" w:equalWidth="0">
            <w:col w:w="1956" w:space="583"/>
            <w:col w:w="6226" w:space="40"/>
            <w:col w:w="2535"/>
          </w:cols>
        </w:sectPr>
      </w:pPr>
    </w:p>
    <w:p>
      <w:pPr>
        <w:pStyle w:val="BodyText"/>
        <w:rPr>
          <w:rFonts w:ascii="Arial"/>
          <w:b/>
          <w:sz w:val="20"/>
        </w:rPr>
      </w:pPr>
    </w:p>
    <w:p>
      <w:pPr>
        <w:pStyle w:val="BodyText"/>
        <w:spacing w:before="10"/>
        <w:rPr>
          <w:rFonts w:ascii="Arial"/>
          <w:b/>
          <w:sz w:val="18"/>
        </w:rPr>
      </w:pPr>
    </w:p>
    <w:p>
      <w:pPr>
        <w:spacing w:line="480" w:lineRule="auto" w:before="90"/>
        <w:ind w:left="800" w:right="5014" w:firstLine="0"/>
        <w:jc w:val="left"/>
        <w:rPr>
          <w:b/>
          <w:sz w:val="24"/>
        </w:rPr>
      </w:pPr>
      <w:r>
        <w:rPr>
          <w:b/>
          <w:sz w:val="24"/>
        </w:rPr>
        <w:t>To: Massachusetts Opioid Treatment Programs From:</w:t>
      </w:r>
      <w:r>
        <w:rPr>
          <w:b/>
          <w:spacing w:val="-6"/>
          <w:sz w:val="24"/>
        </w:rPr>
        <w:t> </w:t>
      </w:r>
      <w:r>
        <w:rPr>
          <w:b/>
          <w:sz w:val="24"/>
        </w:rPr>
        <w:t>Jen</w:t>
      </w:r>
      <w:r>
        <w:rPr>
          <w:b/>
          <w:spacing w:val="-8"/>
          <w:sz w:val="24"/>
        </w:rPr>
        <w:t> </w:t>
      </w:r>
      <w:r>
        <w:rPr>
          <w:b/>
          <w:sz w:val="24"/>
        </w:rPr>
        <w:t>Babich,</w:t>
      </w:r>
      <w:r>
        <w:rPr>
          <w:b/>
          <w:spacing w:val="-6"/>
          <w:sz w:val="24"/>
        </w:rPr>
        <w:t> </w:t>
      </w:r>
      <w:r>
        <w:rPr>
          <w:b/>
          <w:sz w:val="24"/>
        </w:rPr>
        <w:t>State</w:t>
      </w:r>
      <w:r>
        <w:rPr>
          <w:b/>
          <w:spacing w:val="-6"/>
          <w:sz w:val="24"/>
        </w:rPr>
        <w:t> </w:t>
      </w:r>
      <w:r>
        <w:rPr>
          <w:b/>
          <w:sz w:val="24"/>
        </w:rPr>
        <w:t>Opioid</w:t>
      </w:r>
      <w:r>
        <w:rPr>
          <w:b/>
          <w:spacing w:val="-7"/>
          <w:sz w:val="24"/>
        </w:rPr>
        <w:t> </w:t>
      </w:r>
      <w:r>
        <w:rPr>
          <w:b/>
          <w:sz w:val="24"/>
        </w:rPr>
        <w:t>Treatment</w:t>
      </w:r>
      <w:r>
        <w:rPr>
          <w:b/>
          <w:spacing w:val="-6"/>
          <w:sz w:val="24"/>
        </w:rPr>
        <w:t> </w:t>
      </w:r>
      <w:r>
        <w:rPr>
          <w:b/>
          <w:sz w:val="24"/>
        </w:rPr>
        <w:t>Authority</w:t>
      </w:r>
    </w:p>
    <w:p>
      <w:pPr>
        <w:spacing w:line="480" w:lineRule="auto" w:before="0"/>
        <w:ind w:left="800" w:right="3706" w:firstLine="0"/>
        <w:jc w:val="left"/>
        <w:rPr>
          <w:b/>
          <w:sz w:val="24"/>
        </w:rPr>
      </w:pPr>
      <w:r>
        <w:rPr/>
        <w:pict>
          <v:rect style="position:absolute;margin-left:70.5pt;margin-top:56.143143pt;width:471pt;height:1.5pt;mso-position-horizontal-relative:page;mso-position-vertical-relative:paragraph;z-index:-15728640;mso-wrap-distance-left:0;mso-wrap-distance-right:0" id="docshape3" filled="true" fillcolor="#000000" stroked="false">
            <v:fill type="solid"/>
            <w10:wrap type="topAndBottom"/>
          </v:rect>
        </w:pict>
      </w:r>
      <w:r>
        <w:rPr>
          <w:b/>
          <w:sz w:val="24"/>
        </w:rPr>
        <w:t>Subject:</w:t>
      </w:r>
      <w:r>
        <w:rPr>
          <w:b/>
          <w:spacing w:val="-6"/>
          <w:sz w:val="24"/>
        </w:rPr>
        <w:t> </w:t>
      </w:r>
      <w:r>
        <w:rPr>
          <w:b/>
          <w:sz w:val="24"/>
        </w:rPr>
        <w:t>Updated</w:t>
      </w:r>
      <w:r>
        <w:rPr>
          <w:b/>
          <w:spacing w:val="-7"/>
          <w:sz w:val="24"/>
        </w:rPr>
        <w:t> </w:t>
      </w:r>
      <w:r>
        <w:rPr>
          <w:b/>
          <w:sz w:val="24"/>
        </w:rPr>
        <w:t>Post-PHE</w:t>
      </w:r>
      <w:r>
        <w:rPr>
          <w:b/>
          <w:spacing w:val="-7"/>
          <w:sz w:val="24"/>
        </w:rPr>
        <w:t> </w:t>
      </w:r>
      <w:r>
        <w:rPr>
          <w:b/>
          <w:sz w:val="24"/>
        </w:rPr>
        <w:t>Take-Home</w:t>
      </w:r>
      <w:r>
        <w:rPr>
          <w:b/>
          <w:spacing w:val="-7"/>
          <w:sz w:val="24"/>
        </w:rPr>
        <w:t> </w:t>
      </w:r>
      <w:r>
        <w:rPr>
          <w:b/>
          <w:sz w:val="24"/>
        </w:rPr>
        <w:t>Guidance</w:t>
      </w:r>
      <w:r>
        <w:rPr>
          <w:b/>
          <w:spacing w:val="-6"/>
          <w:sz w:val="24"/>
        </w:rPr>
        <w:t> </w:t>
      </w:r>
      <w:r>
        <w:rPr>
          <w:b/>
          <w:sz w:val="24"/>
        </w:rPr>
        <w:t>&amp;</w:t>
      </w:r>
      <w:r>
        <w:rPr>
          <w:b/>
          <w:spacing w:val="-6"/>
          <w:sz w:val="24"/>
        </w:rPr>
        <w:t> </w:t>
      </w:r>
      <w:r>
        <w:rPr>
          <w:b/>
          <w:sz w:val="24"/>
        </w:rPr>
        <w:t>Criteria Date: May 1, 2023</w:t>
      </w:r>
    </w:p>
    <w:p>
      <w:pPr>
        <w:pStyle w:val="BodyText"/>
        <w:rPr>
          <w:b/>
          <w:sz w:val="20"/>
        </w:rPr>
      </w:pPr>
    </w:p>
    <w:p>
      <w:pPr>
        <w:pStyle w:val="BodyText"/>
        <w:spacing w:before="2"/>
        <w:rPr>
          <w:b/>
          <w:sz w:val="16"/>
        </w:rPr>
      </w:pPr>
    </w:p>
    <w:p>
      <w:pPr>
        <w:pStyle w:val="BodyText"/>
        <w:spacing w:before="90"/>
        <w:ind w:left="799" w:right="1251"/>
      </w:pPr>
      <w:r>
        <w:rPr/>
        <w:t>SAMHSA has released updated take-home guidance which will go into effect at the expiration of the federal COVID-19 Public Health Emergency on May 11, 2023 (</w:t>
      </w:r>
      <w:hyperlink r:id="rId7">
        <w:r>
          <w:rPr>
            <w:color w:val="0000FF"/>
            <w:u w:val="single" w:color="0000FF"/>
          </w:rPr>
          <w:t>https://www.samhsa.gov/medications-</w:t>
        </w:r>
      </w:hyperlink>
      <w:r>
        <w:rPr>
          <w:color w:val="0000FF"/>
        </w:rPr>
        <w:t> </w:t>
      </w:r>
      <w:hyperlink r:id="rId7">
        <w:r>
          <w:rPr>
            <w:color w:val="0000FF"/>
            <w:u w:val="single" w:color="0000FF"/>
          </w:rPr>
          <w:t>substance-use-disorders/statutes-regulations-guidelines/methadone-guidance</w:t>
        </w:r>
      </w:hyperlink>
      <w:r>
        <w:rPr/>
        <w:t>).</w:t>
      </w:r>
      <w:r>
        <w:rPr>
          <w:spacing w:val="40"/>
        </w:rPr>
        <w:t> </w:t>
      </w:r>
      <w:r>
        <w:rPr/>
        <w:t>This updated guidance provides</w:t>
      </w:r>
      <w:r>
        <w:rPr>
          <w:spacing w:val="-3"/>
        </w:rPr>
        <w:t> </w:t>
      </w:r>
      <w:r>
        <w:rPr/>
        <w:t>patients</w:t>
      </w:r>
      <w:r>
        <w:rPr>
          <w:spacing w:val="-3"/>
        </w:rPr>
        <w:t> </w:t>
      </w:r>
      <w:r>
        <w:rPr/>
        <w:t>the</w:t>
      </w:r>
      <w:r>
        <w:rPr>
          <w:spacing w:val="-3"/>
        </w:rPr>
        <w:t> </w:t>
      </w:r>
      <w:r>
        <w:rPr/>
        <w:t>opportunity</w:t>
      </w:r>
      <w:r>
        <w:rPr>
          <w:spacing w:val="-2"/>
        </w:rPr>
        <w:t> </w:t>
      </w:r>
      <w:r>
        <w:rPr/>
        <w:t>to</w:t>
      </w:r>
      <w:r>
        <w:rPr>
          <w:spacing w:val="-2"/>
        </w:rPr>
        <w:t> </w:t>
      </w:r>
      <w:r>
        <w:rPr/>
        <w:t>access</w:t>
      </w:r>
      <w:r>
        <w:rPr>
          <w:spacing w:val="-3"/>
        </w:rPr>
        <w:t> </w:t>
      </w:r>
      <w:r>
        <w:rPr/>
        <w:t>take</w:t>
      </w:r>
      <w:r>
        <w:rPr>
          <w:spacing w:val="-3"/>
        </w:rPr>
        <w:t> </w:t>
      </w:r>
      <w:r>
        <w:rPr/>
        <w:t>homes</w:t>
      </w:r>
      <w:r>
        <w:rPr>
          <w:spacing w:val="-3"/>
        </w:rPr>
        <w:t> </w:t>
      </w:r>
      <w:r>
        <w:rPr/>
        <w:t>earlier</w:t>
      </w:r>
      <w:r>
        <w:rPr>
          <w:spacing w:val="-2"/>
        </w:rPr>
        <w:t> </w:t>
      </w:r>
      <w:r>
        <w:rPr/>
        <w:t>in</w:t>
      </w:r>
      <w:r>
        <w:rPr>
          <w:spacing w:val="-2"/>
        </w:rPr>
        <w:t> </w:t>
      </w:r>
      <w:r>
        <w:rPr/>
        <w:t>their</w:t>
      </w:r>
      <w:r>
        <w:rPr>
          <w:spacing w:val="-2"/>
        </w:rPr>
        <w:t> </w:t>
      </w:r>
      <w:r>
        <w:rPr/>
        <w:t>treatment,</w:t>
      </w:r>
      <w:r>
        <w:rPr>
          <w:spacing w:val="-2"/>
        </w:rPr>
        <w:t> </w:t>
      </w:r>
      <w:r>
        <w:rPr/>
        <w:t>receive</w:t>
      </w:r>
      <w:r>
        <w:rPr>
          <w:spacing w:val="-3"/>
        </w:rPr>
        <w:t> </w:t>
      </w:r>
      <w:r>
        <w:rPr/>
        <w:t>more</w:t>
      </w:r>
      <w:r>
        <w:rPr>
          <w:spacing w:val="-3"/>
        </w:rPr>
        <w:t> </w:t>
      </w:r>
      <w:r>
        <w:rPr/>
        <w:t>take</w:t>
      </w:r>
      <w:r>
        <w:rPr>
          <w:spacing w:val="-3"/>
        </w:rPr>
        <w:t> </w:t>
      </w:r>
      <w:r>
        <w:rPr/>
        <w:t>homes than existing regulations allow, and allows for individualized treatment.</w:t>
      </w:r>
    </w:p>
    <w:p>
      <w:pPr>
        <w:pStyle w:val="BodyText"/>
      </w:pPr>
    </w:p>
    <w:p>
      <w:pPr>
        <w:spacing w:before="0"/>
        <w:ind w:left="799" w:right="1194" w:firstLine="0"/>
        <w:jc w:val="left"/>
        <w:rPr>
          <w:sz w:val="22"/>
        </w:rPr>
      </w:pPr>
      <w:r>
        <w:rPr>
          <w:b/>
          <w:sz w:val="22"/>
        </w:rPr>
        <w:t>This newly revised April 2023 Guidance (hereinafter “the Guidance”) will be effective upon the expiration of the COVID-19 Public Health Emergency and will remain in effect for the period of one year from the end of the COVID-19 Public Health Emergency, or until such time that the U.S. Department of Health and Human Services publishes final rules revising 42 C.F.R part 8,</w:t>
      </w:r>
      <w:r>
        <w:rPr>
          <w:b/>
          <w:spacing w:val="40"/>
          <w:sz w:val="22"/>
        </w:rPr>
        <w:t> </w:t>
      </w:r>
      <w:r>
        <w:rPr>
          <w:b/>
          <w:sz w:val="22"/>
        </w:rPr>
        <w:t>whichever</w:t>
      </w:r>
      <w:r>
        <w:rPr>
          <w:b/>
          <w:spacing w:val="-4"/>
          <w:sz w:val="22"/>
        </w:rPr>
        <w:t> </w:t>
      </w:r>
      <w:r>
        <w:rPr>
          <w:b/>
          <w:sz w:val="22"/>
        </w:rPr>
        <w:t>occurs</w:t>
      </w:r>
      <w:r>
        <w:rPr>
          <w:b/>
          <w:spacing w:val="-4"/>
          <w:sz w:val="22"/>
        </w:rPr>
        <w:t> </w:t>
      </w:r>
      <w:r>
        <w:rPr>
          <w:b/>
          <w:sz w:val="22"/>
        </w:rPr>
        <w:t>sooner</w:t>
      </w:r>
      <w:r>
        <w:rPr>
          <w:sz w:val="22"/>
        </w:rPr>
        <w:t>.</w:t>
      </w:r>
      <w:r>
        <w:rPr>
          <w:spacing w:val="-2"/>
          <w:sz w:val="22"/>
        </w:rPr>
        <w:t> </w:t>
      </w:r>
      <w:r>
        <w:rPr>
          <w:sz w:val="22"/>
        </w:rPr>
        <w:t>A</w:t>
      </w:r>
      <w:r>
        <w:rPr>
          <w:spacing w:val="-4"/>
          <w:sz w:val="22"/>
        </w:rPr>
        <w:t> </w:t>
      </w:r>
      <w:r>
        <w:rPr>
          <w:sz w:val="22"/>
        </w:rPr>
        <w:t>notice</w:t>
      </w:r>
      <w:r>
        <w:rPr>
          <w:spacing w:val="-4"/>
          <w:sz w:val="22"/>
        </w:rPr>
        <w:t> </w:t>
      </w:r>
      <w:r>
        <w:rPr>
          <w:sz w:val="22"/>
        </w:rPr>
        <w:t>of</w:t>
      </w:r>
      <w:r>
        <w:rPr>
          <w:spacing w:val="-3"/>
          <w:sz w:val="22"/>
        </w:rPr>
        <w:t> </w:t>
      </w:r>
      <w:r>
        <w:rPr>
          <w:sz w:val="22"/>
        </w:rPr>
        <w:t>proposed</w:t>
      </w:r>
      <w:r>
        <w:rPr>
          <w:spacing w:val="-3"/>
          <w:sz w:val="22"/>
        </w:rPr>
        <w:t> </w:t>
      </w:r>
      <w:r>
        <w:rPr>
          <w:sz w:val="22"/>
        </w:rPr>
        <w:t>rulemaking</w:t>
      </w:r>
      <w:r>
        <w:rPr>
          <w:spacing w:val="-3"/>
          <w:sz w:val="22"/>
        </w:rPr>
        <w:t> </w:t>
      </w:r>
      <w:r>
        <w:rPr>
          <w:sz w:val="22"/>
        </w:rPr>
        <w:t>has</w:t>
      </w:r>
      <w:r>
        <w:rPr>
          <w:spacing w:val="-4"/>
          <w:sz w:val="22"/>
        </w:rPr>
        <w:t> </w:t>
      </w:r>
      <w:r>
        <w:rPr>
          <w:sz w:val="22"/>
        </w:rPr>
        <w:t>been</w:t>
      </w:r>
      <w:r>
        <w:rPr>
          <w:spacing w:val="-3"/>
          <w:sz w:val="22"/>
        </w:rPr>
        <w:t> </w:t>
      </w:r>
      <w:r>
        <w:rPr>
          <w:sz w:val="22"/>
        </w:rPr>
        <w:t>published</w:t>
      </w:r>
      <w:r>
        <w:rPr>
          <w:spacing w:val="-3"/>
          <w:sz w:val="22"/>
        </w:rPr>
        <w:t> </w:t>
      </w:r>
      <w:r>
        <w:rPr>
          <w:sz w:val="22"/>
        </w:rPr>
        <w:t>that</w:t>
      </w:r>
      <w:r>
        <w:rPr>
          <w:spacing w:val="-3"/>
          <w:sz w:val="22"/>
        </w:rPr>
        <w:t> </w:t>
      </w:r>
      <w:r>
        <w:rPr>
          <w:sz w:val="22"/>
        </w:rPr>
        <w:t>proposes</w:t>
      </w:r>
      <w:r>
        <w:rPr>
          <w:spacing w:val="-4"/>
          <w:sz w:val="22"/>
        </w:rPr>
        <w:t> </w:t>
      </w:r>
      <w:r>
        <w:rPr>
          <w:sz w:val="22"/>
        </w:rPr>
        <w:t>revisions</w:t>
      </w:r>
      <w:r>
        <w:rPr>
          <w:spacing w:val="-4"/>
          <w:sz w:val="22"/>
        </w:rPr>
        <w:t> </w:t>
      </w:r>
      <w:r>
        <w:rPr>
          <w:sz w:val="22"/>
        </w:rPr>
        <w:t>to 42 C.F.R. part 8 entitled ‘Medications for the Treatment of Opioid Use Disorder’ (87 FR 77330), which SAMHSA is working to finalize.</w:t>
      </w:r>
    </w:p>
    <w:p>
      <w:pPr>
        <w:pStyle w:val="BodyText"/>
        <w:spacing w:before="1"/>
      </w:pPr>
    </w:p>
    <w:p>
      <w:pPr>
        <w:spacing w:before="0"/>
        <w:ind w:left="799" w:right="1251" w:firstLine="0"/>
        <w:jc w:val="left"/>
        <w:rPr>
          <w:b/>
          <w:sz w:val="22"/>
        </w:rPr>
      </w:pPr>
      <w:r>
        <w:rPr>
          <w:b/>
          <w:sz w:val="22"/>
        </w:rPr>
        <w:t>Subject to the conditions identified below, this Guidance will offer an exemption from the unsupervised</w:t>
      </w:r>
      <w:r>
        <w:rPr>
          <w:b/>
          <w:spacing w:val="-4"/>
          <w:sz w:val="22"/>
        </w:rPr>
        <w:t> </w:t>
      </w:r>
      <w:r>
        <w:rPr>
          <w:b/>
          <w:sz w:val="22"/>
        </w:rPr>
        <w:t>take-home</w:t>
      </w:r>
      <w:r>
        <w:rPr>
          <w:b/>
          <w:spacing w:val="-5"/>
          <w:sz w:val="22"/>
        </w:rPr>
        <w:t> </w:t>
      </w:r>
      <w:r>
        <w:rPr>
          <w:b/>
          <w:sz w:val="22"/>
        </w:rPr>
        <w:t>medication</w:t>
      </w:r>
      <w:r>
        <w:rPr>
          <w:b/>
          <w:spacing w:val="-4"/>
          <w:sz w:val="22"/>
        </w:rPr>
        <w:t> </w:t>
      </w:r>
      <w:r>
        <w:rPr>
          <w:b/>
          <w:sz w:val="22"/>
        </w:rPr>
        <w:t>requirements</w:t>
      </w:r>
      <w:r>
        <w:rPr>
          <w:b/>
          <w:spacing w:val="-3"/>
          <w:sz w:val="22"/>
        </w:rPr>
        <w:t> </w:t>
      </w:r>
      <w:r>
        <w:rPr>
          <w:b/>
          <w:sz w:val="22"/>
        </w:rPr>
        <w:t>of</w:t>
      </w:r>
      <w:r>
        <w:rPr>
          <w:b/>
          <w:spacing w:val="-4"/>
          <w:sz w:val="22"/>
        </w:rPr>
        <w:t> </w:t>
      </w:r>
      <w:r>
        <w:rPr>
          <w:b/>
          <w:sz w:val="22"/>
        </w:rPr>
        <w:t>42</w:t>
      </w:r>
      <w:r>
        <w:rPr>
          <w:b/>
          <w:spacing w:val="-4"/>
          <w:sz w:val="22"/>
        </w:rPr>
        <w:t> </w:t>
      </w:r>
      <w:r>
        <w:rPr>
          <w:b/>
          <w:sz w:val="22"/>
        </w:rPr>
        <w:t>C.F.R.</w:t>
      </w:r>
      <w:r>
        <w:rPr>
          <w:b/>
          <w:spacing w:val="-5"/>
          <w:sz w:val="22"/>
        </w:rPr>
        <w:t> </w:t>
      </w:r>
      <w:r>
        <w:rPr>
          <w:b/>
          <w:sz w:val="22"/>
        </w:rPr>
        <w:t>§</w:t>
      </w:r>
      <w:r>
        <w:rPr>
          <w:b/>
          <w:spacing w:val="-4"/>
          <w:sz w:val="22"/>
        </w:rPr>
        <w:t> </w:t>
      </w:r>
      <w:r>
        <w:rPr>
          <w:b/>
          <w:sz w:val="22"/>
        </w:rPr>
        <w:t>8.12(i).</w:t>
      </w:r>
      <w:r>
        <w:rPr>
          <w:b/>
          <w:spacing w:val="-4"/>
          <w:sz w:val="22"/>
        </w:rPr>
        <w:t> </w:t>
      </w:r>
      <w:r>
        <w:rPr>
          <w:b/>
          <w:sz w:val="22"/>
        </w:rPr>
        <w:t>Specifically,</w:t>
      </w:r>
      <w:r>
        <w:rPr>
          <w:b/>
          <w:spacing w:val="-4"/>
          <w:sz w:val="22"/>
        </w:rPr>
        <w:t> </w:t>
      </w:r>
      <w:r>
        <w:rPr>
          <w:b/>
          <w:sz w:val="22"/>
        </w:rPr>
        <w:t>OTPs</w:t>
      </w:r>
      <w:r>
        <w:rPr>
          <w:b/>
          <w:spacing w:val="-5"/>
          <w:sz w:val="22"/>
        </w:rPr>
        <w:t> </w:t>
      </w:r>
      <w:r>
        <w:rPr>
          <w:b/>
          <w:sz w:val="22"/>
        </w:rPr>
        <w:t>taking advantage of this exemption may provide unsupervised take-home doses of methadone in accordance with the following time in treatment standards:</w:t>
      </w:r>
    </w:p>
    <w:p>
      <w:pPr>
        <w:pStyle w:val="ListParagraph"/>
        <w:numPr>
          <w:ilvl w:val="0"/>
          <w:numId w:val="1"/>
        </w:numPr>
        <w:tabs>
          <w:tab w:pos="1519" w:val="left" w:leader="none"/>
          <w:tab w:pos="1521" w:val="left" w:leader="none"/>
        </w:tabs>
        <w:spacing w:line="240" w:lineRule="auto" w:before="0" w:after="0"/>
        <w:ind w:left="1520" w:right="1347" w:hanging="360"/>
        <w:jc w:val="left"/>
        <w:rPr>
          <w:sz w:val="22"/>
        </w:rPr>
      </w:pPr>
      <w:r>
        <w:rPr>
          <w:sz w:val="22"/>
        </w:rPr>
        <w:t>In</w:t>
      </w:r>
      <w:r>
        <w:rPr>
          <w:spacing w:val="-2"/>
          <w:sz w:val="22"/>
        </w:rPr>
        <w:t> </w:t>
      </w:r>
      <w:r>
        <w:rPr>
          <w:sz w:val="22"/>
        </w:rPr>
        <w:t>treatment</w:t>
      </w:r>
      <w:r>
        <w:rPr>
          <w:spacing w:val="-1"/>
          <w:sz w:val="22"/>
        </w:rPr>
        <w:t> </w:t>
      </w:r>
      <w:r>
        <w:rPr>
          <w:sz w:val="22"/>
        </w:rPr>
        <w:t>0-14</w:t>
      </w:r>
      <w:r>
        <w:rPr>
          <w:spacing w:val="-2"/>
          <w:sz w:val="22"/>
        </w:rPr>
        <w:t> </w:t>
      </w:r>
      <w:r>
        <w:rPr>
          <w:sz w:val="22"/>
        </w:rPr>
        <w:t>days,</w:t>
      </w:r>
      <w:r>
        <w:rPr>
          <w:spacing w:val="-3"/>
          <w:sz w:val="22"/>
        </w:rPr>
        <w:t> </w:t>
      </w:r>
      <w:r>
        <w:rPr>
          <w:sz w:val="22"/>
        </w:rPr>
        <w:t>up</w:t>
      </w:r>
      <w:r>
        <w:rPr>
          <w:spacing w:val="-3"/>
          <w:sz w:val="22"/>
        </w:rPr>
        <w:t> </w:t>
      </w:r>
      <w:r>
        <w:rPr>
          <w:sz w:val="22"/>
        </w:rPr>
        <w:t>to</w:t>
      </w:r>
      <w:r>
        <w:rPr>
          <w:spacing w:val="-2"/>
          <w:sz w:val="22"/>
        </w:rPr>
        <w:t> </w:t>
      </w:r>
      <w:r>
        <w:rPr>
          <w:sz w:val="22"/>
        </w:rPr>
        <w:t>7</w:t>
      </w:r>
      <w:r>
        <w:rPr>
          <w:spacing w:val="-3"/>
          <w:sz w:val="22"/>
        </w:rPr>
        <w:t> </w:t>
      </w:r>
      <w:r>
        <w:rPr>
          <w:sz w:val="22"/>
        </w:rPr>
        <w:t>unsupervised</w:t>
      </w:r>
      <w:r>
        <w:rPr>
          <w:spacing w:val="-2"/>
          <w:sz w:val="22"/>
        </w:rPr>
        <w:t> </w:t>
      </w:r>
      <w:r>
        <w:rPr>
          <w:sz w:val="22"/>
        </w:rPr>
        <w:t>take-home</w:t>
      </w:r>
      <w:r>
        <w:rPr>
          <w:spacing w:val="-3"/>
          <w:sz w:val="22"/>
        </w:rPr>
        <w:t> </w:t>
      </w:r>
      <w:r>
        <w:rPr>
          <w:sz w:val="22"/>
        </w:rPr>
        <w:t>doses</w:t>
      </w:r>
      <w:r>
        <w:rPr>
          <w:spacing w:val="-3"/>
          <w:sz w:val="22"/>
        </w:rPr>
        <w:t> </w:t>
      </w:r>
      <w:r>
        <w:rPr>
          <w:sz w:val="22"/>
        </w:rPr>
        <w:t>of</w:t>
      </w:r>
      <w:r>
        <w:rPr>
          <w:spacing w:val="-1"/>
          <w:sz w:val="22"/>
        </w:rPr>
        <w:t> </w:t>
      </w:r>
      <w:r>
        <w:rPr>
          <w:sz w:val="22"/>
        </w:rPr>
        <w:t>methadone</w:t>
      </w:r>
      <w:r>
        <w:rPr>
          <w:spacing w:val="-3"/>
          <w:sz w:val="22"/>
        </w:rPr>
        <w:t> </w:t>
      </w:r>
      <w:r>
        <w:rPr>
          <w:sz w:val="22"/>
        </w:rPr>
        <w:t>may</w:t>
      </w:r>
      <w:r>
        <w:rPr>
          <w:spacing w:val="-2"/>
          <w:sz w:val="22"/>
        </w:rPr>
        <w:t> </w:t>
      </w:r>
      <w:r>
        <w:rPr>
          <w:sz w:val="22"/>
        </w:rPr>
        <w:t>be</w:t>
      </w:r>
      <w:r>
        <w:rPr>
          <w:spacing w:val="-3"/>
          <w:sz w:val="22"/>
        </w:rPr>
        <w:t> </w:t>
      </w:r>
      <w:r>
        <w:rPr>
          <w:sz w:val="22"/>
        </w:rPr>
        <w:t>provided</w:t>
      </w:r>
      <w:r>
        <w:rPr>
          <w:spacing w:val="-2"/>
          <w:sz w:val="22"/>
        </w:rPr>
        <w:t> </w:t>
      </w:r>
      <w:r>
        <w:rPr>
          <w:sz w:val="22"/>
        </w:rPr>
        <w:t>to the patient</w:t>
      </w:r>
    </w:p>
    <w:p>
      <w:pPr>
        <w:pStyle w:val="ListParagraph"/>
        <w:numPr>
          <w:ilvl w:val="0"/>
          <w:numId w:val="1"/>
        </w:numPr>
        <w:tabs>
          <w:tab w:pos="1519" w:val="left" w:leader="none"/>
          <w:tab w:pos="1521" w:val="left" w:leader="none"/>
        </w:tabs>
        <w:spacing w:line="240" w:lineRule="auto" w:before="0" w:after="0"/>
        <w:ind w:left="1520" w:right="1293" w:hanging="360"/>
        <w:jc w:val="left"/>
        <w:rPr>
          <w:sz w:val="22"/>
        </w:rPr>
      </w:pPr>
      <w:r>
        <w:rPr>
          <w:sz w:val="22"/>
        </w:rPr>
        <w:t>Treatment</w:t>
      </w:r>
      <w:r>
        <w:rPr>
          <w:spacing w:val="-3"/>
          <w:sz w:val="22"/>
        </w:rPr>
        <w:t> </w:t>
      </w:r>
      <w:r>
        <w:rPr>
          <w:sz w:val="22"/>
        </w:rPr>
        <w:t>days</w:t>
      </w:r>
      <w:r>
        <w:rPr>
          <w:spacing w:val="-4"/>
          <w:sz w:val="22"/>
        </w:rPr>
        <w:t> </w:t>
      </w:r>
      <w:r>
        <w:rPr>
          <w:sz w:val="22"/>
        </w:rPr>
        <w:t>15-30,</w:t>
      </w:r>
      <w:r>
        <w:rPr>
          <w:spacing w:val="-3"/>
          <w:sz w:val="22"/>
        </w:rPr>
        <w:t> </w:t>
      </w:r>
      <w:r>
        <w:rPr>
          <w:sz w:val="22"/>
        </w:rPr>
        <w:t>up</w:t>
      </w:r>
      <w:r>
        <w:rPr>
          <w:spacing w:val="-4"/>
          <w:sz w:val="22"/>
        </w:rPr>
        <w:t> </w:t>
      </w:r>
      <w:r>
        <w:rPr>
          <w:sz w:val="22"/>
        </w:rPr>
        <w:t>to</w:t>
      </w:r>
      <w:r>
        <w:rPr>
          <w:spacing w:val="-3"/>
          <w:sz w:val="22"/>
        </w:rPr>
        <w:t> </w:t>
      </w:r>
      <w:r>
        <w:rPr>
          <w:sz w:val="22"/>
        </w:rPr>
        <w:t>14</w:t>
      </w:r>
      <w:r>
        <w:rPr>
          <w:spacing w:val="-4"/>
          <w:sz w:val="22"/>
        </w:rPr>
        <w:t> </w:t>
      </w:r>
      <w:r>
        <w:rPr>
          <w:sz w:val="22"/>
        </w:rPr>
        <w:t>unsupervised</w:t>
      </w:r>
      <w:r>
        <w:rPr>
          <w:spacing w:val="-3"/>
          <w:sz w:val="22"/>
        </w:rPr>
        <w:t> </w:t>
      </w:r>
      <w:r>
        <w:rPr>
          <w:sz w:val="22"/>
        </w:rPr>
        <w:t>take-home</w:t>
      </w:r>
      <w:r>
        <w:rPr>
          <w:spacing w:val="-4"/>
          <w:sz w:val="22"/>
        </w:rPr>
        <w:t> </w:t>
      </w:r>
      <w:r>
        <w:rPr>
          <w:sz w:val="22"/>
        </w:rPr>
        <w:t>doses</w:t>
      </w:r>
      <w:r>
        <w:rPr>
          <w:spacing w:val="-4"/>
          <w:sz w:val="22"/>
        </w:rPr>
        <w:t> </w:t>
      </w:r>
      <w:r>
        <w:rPr>
          <w:sz w:val="22"/>
        </w:rPr>
        <w:t>of</w:t>
      </w:r>
      <w:r>
        <w:rPr>
          <w:spacing w:val="-2"/>
          <w:sz w:val="22"/>
        </w:rPr>
        <w:t> </w:t>
      </w:r>
      <w:r>
        <w:rPr>
          <w:sz w:val="22"/>
        </w:rPr>
        <w:t>methadone</w:t>
      </w:r>
      <w:r>
        <w:rPr>
          <w:spacing w:val="-4"/>
          <w:sz w:val="22"/>
        </w:rPr>
        <w:t> </w:t>
      </w:r>
      <w:r>
        <w:rPr>
          <w:sz w:val="22"/>
        </w:rPr>
        <w:t>may</w:t>
      </w:r>
      <w:r>
        <w:rPr>
          <w:spacing w:val="-3"/>
          <w:sz w:val="22"/>
        </w:rPr>
        <w:t> </w:t>
      </w:r>
      <w:r>
        <w:rPr>
          <w:sz w:val="22"/>
        </w:rPr>
        <w:t>be</w:t>
      </w:r>
      <w:r>
        <w:rPr>
          <w:spacing w:val="-4"/>
          <w:sz w:val="22"/>
        </w:rPr>
        <w:t> </w:t>
      </w:r>
      <w:r>
        <w:rPr>
          <w:sz w:val="22"/>
        </w:rPr>
        <w:t>provided</w:t>
      </w:r>
      <w:r>
        <w:rPr>
          <w:spacing w:val="-3"/>
          <w:sz w:val="22"/>
        </w:rPr>
        <w:t> </w:t>
      </w:r>
      <w:r>
        <w:rPr>
          <w:sz w:val="22"/>
        </w:rPr>
        <w:t>to the patient</w:t>
      </w:r>
    </w:p>
    <w:p>
      <w:pPr>
        <w:pStyle w:val="ListParagraph"/>
        <w:numPr>
          <w:ilvl w:val="0"/>
          <w:numId w:val="1"/>
        </w:numPr>
        <w:tabs>
          <w:tab w:pos="1519" w:val="left" w:leader="none"/>
          <w:tab w:pos="1521" w:val="left" w:leader="none"/>
        </w:tabs>
        <w:spacing w:line="240" w:lineRule="auto" w:before="0" w:after="0"/>
        <w:ind w:left="1520" w:right="1967" w:hanging="360"/>
        <w:jc w:val="left"/>
        <w:rPr>
          <w:sz w:val="22"/>
        </w:rPr>
      </w:pPr>
      <w:r>
        <w:rPr>
          <w:sz w:val="22"/>
        </w:rPr>
        <w:t>From</w:t>
      </w:r>
      <w:r>
        <w:rPr>
          <w:spacing w:val="-4"/>
          <w:sz w:val="22"/>
        </w:rPr>
        <w:t> </w:t>
      </w:r>
      <w:r>
        <w:rPr>
          <w:sz w:val="22"/>
        </w:rPr>
        <w:t>31</w:t>
      </w:r>
      <w:r>
        <w:rPr>
          <w:spacing w:val="-3"/>
          <w:sz w:val="22"/>
        </w:rPr>
        <w:t> </w:t>
      </w:r>
      <w:r>
        <w:rPr>
          <w:sz w:val="22"/>
        </w:rPr>
        <w:t>days</w:t>
      </w:r>
      <w:r>
        <w:rPr>
          <w:spacing w:val="-5"/>
          <w:sz w:val="22"/>
        </w:rPr>
        <w:t> </w:t>
      </w:r>
      <w:r>
        <w:rPr>
          <w:sz w:val="22"/>
        </w:rPr>
        <w:t>in</w:t>
      </w:r>
      <w:r>
        <w:rPr>
          <w:spacing w:val="-3"/>
          <w:sz w:val="22"/>
        </w:rPr>
        <w:t> </w:t>
      </w:r>
      <w:r>
        <w:rPr>
          <w:sz w:val="22"/>
        </w:rPr>
        <w:t>treatment,</w:t>
      </w:r>
      <w:r>
        <w:rPr>
          <w:spacing w:val="-3"/>
          <w:sz w:val="22"/>
        </w:rPr>
        <w:t> </w:t>
      </w:r>
      <w:r>
        <w:rPr>
          <w:sz w:val="22"/>
        </w:rPr>
        <w:t>up</w:t>
      </w:r>
      <w:r>
        <w:rPr>
          <w:spacing w:val="-3"/>
          <w:sz w:val="22"/>
        </w:rPr>
        <w:t> </w:t>
      </w:r>
      <w:r>
        <w:rPr>
          <w:sz w:val="22"/>
        </w:rPr>
        <w:t>to</w:t>
      </w:r>
      <w:r>
        <w:rPr>
          <w:spacing w:val="-4"/>
          <w:sz w:val="22"/>
        </w:rPr>
        <w:t> </w:t>
      </w:r>
      <w:r>
        <w:rPr>
          <w:sz w:val="22"/>
        </w:rPr>
        <w:t>28</w:t>
      </w:r>
      <w:r>
        <w:rPr>
          <w:spacing w:val="-4"/>
          <w:sz w:val="22"/>
        </w:rPr>
        <w:t> </w:t>
      </w:r>
      <w:r>
        <w:rPr>
          <w:sz w:val="22"/>
        </w:rPr>
        <w:t>unsupervised</w:t>
      </w:r>
      <w:r>
        <w:rPr>
          <w:spacing w:val="-3"/>
          <w:sz w:val="22"/>
        </w:rPr>
        <w:t> </w:t>
      </w:r>
      <w:r>
        <w:rPr>
          <w:sz w:val="22"/>
        </w:rPr>
        <w:t>take-home</w:t>
      </w:r>
      <w:r>
        <w:rPr>
          <w:spacing w:val="-4"/>
          <w:sz w:val="22"/>
        </w:rPr>
        <w:t> </w:t>
      </w:r>
      <w:r>
        <w:rPr>
          <w:sz w:val="22"/>
        </w:rPr>
        <w:t>doses</w:t>
      </w:r>
      <w:r>
        <w:rPr>
          <w:spacing w:val="-4"/>
          <w:sz w:val="22"/>
        </w:rPr>
        <w:t> </w:t>
      </w:r>
      <w:r>
        <w:rPr>
          <w:sz w:val="22"/>
        </w:rPr>
        <w:t>of</w:t>
      </w:r>
      <w:r>
        <w:rPr>
          <w:spacing w:val="-3"/>
          <w:sz w:val="22"/>
        </w:rPr>
        <w:t> </w:t>
      </w:r>
      <w:r>
        <w:rPr>
          <w:sz w:val="22"/>
        </w:rPr>
        <w:t>methadone</w:t>
      </w:r>
      <w:r>
        <w:rPr>
          <w:spacing w:val="-4"/>
          <w:sz w:val="22"/>
        </w:rPr>
        <w:t> </w:t>
      </w:r>
      <w:r>
        <w:rPr>
          <w:sz w:val="22"/>
        </w:rPr>
        <w:t>may</w:t>
      </w:r>
      <w:r>
        <w:rPr>
          <w:spacing w:val="-3"/>
          <w:sz w:val="22"/>
        </w:rPr>
        <w:t> </w:t>
      </w:r>
      <w:r>
        <w:rPr>
          <w:sz w:val="22"/>
        </w:rPr>
        <w:t>be provided to the patient</w:t>
      </w:r>
    </w:p>
    <w:p>
      <w:pPr>
        <w:pStyle w:val="BodyText"/>
        <w:spacing w:before="9"/>
        <w:rPr>
          <w:sz w:val="21"/>
        </w:rPr>
      </w:pPr>
    </w:p>
    <w:p>
      <w:pPr>
        <w:pStyle w:val="BodyText"/>
        <w:ind w:left="799" w:right="1251"/>
      </w:pPr>
      <w:r>
        <w:rPr/>
        <w:t>In</w:t>
      </w:r>
      <w:r>
        <w:rPr>
          <w:spacing w:val="-2"/>
        </w:rPr>
        <w:t> </w:t>
      </w:r>
      <w:r>
        <w:rPr/>
        <w:t>all</w:t>
      </w:r>
      <w:r>
        <w:rPr>
          <w:spacing w:val="-2"/>
        </w:rPr>
        <w:t> </w:t>
      </w:r>
      <w:r>
        <w:rPr/>
        <w:t>instances,</w:t>
      </w:r>
      <w:r>
        <w:rPr>
          <w:spacing w:val="-2"/>
        </w:rPr>
        <w:t> </w:t>
      </w:r>
      <w:r>
        <w:rPr/>
        <w:t>it</w:t>
      </w:r>
      <w:r>
        <w:rPr>
          <w:spacing w:val="-2"/>
        </w:rPr>
        <w:t> </w:t>
      </w:r>
      <w:r>
        <w:rPr/>
        <w:t>is</w:t>
      </w:r>
      <w:r>
        <w:rPr>
          <w:spacing w:val="-3"/>
        </w:rPr>
        <w:t> </w:t>
      </w:r>
      <w:r>
        <w:rPr/>
        <w:t>within</w:t>
      </w:r>
      <w:r>
        <w:rPr>
          <w:spacing w:val="-2"/>
        </w:rPr>
        <w:t> </w:t>
      </w:r>
      <w:r>
        <w:rPr/>
        <w:t>the</w:t>
      </w:r>
      <w:r>
        <w:rPr>
          <w:spacing w:val="-3"/>
        </w:rPr>
        <w:t> </w:t>
      </w:r>
      <w:r>
        <w:rPr/>
        <w:t>clinical</w:t>
      </w:r>
      <w:r>
        <w:rPr>
          <w:spacing w:val="-2"/>
        </w:rPr>
        <w:t> </w:t>
      </w:r>
      <w:r>
        <w:rPr/>
        <w:t>judgment</w:t>
      </w:r>
      <w:r>
        <w:rPr>
          <w:spacing w:val="-2"/>
        </w:rPr>
        <w:t> </w:t>
      </w:r>
      <w:r>
        <w:rPr/>
        <w:t>of</w:t>
      </w:r>
      <w:r>
        <w:rPr>
          <w:spacing w:val="-2"/>
        </w:rPr>
        <w:t> </w:t>
      </w:r>
      <w:r>
        <w:rPr/>
        <w:t>the</w:t>
      </w:r>
      <w:r>
        <w:rPr>
          <w:spacing w:val="-3"/>
        </w:rPr>
        <w:t> </w:t>
      </w:r>
      <w:r>
        <w:rPr/>
        <w:t>OTP</w:t>
      </w:r>
      <w:r>
        <w:rPr>
          <w:spacing w:val="-2"/>
        </w:rPr>
        <w:t> </w:t>
      </w:r>
      <w:r>
        <w:rPr/>
        <w:t>practitioner</w:t>
      </w:r>
      <w:r>
        <w:rPr>
          <w:spacing w:val="-2"/>
        </w:rPr>
        <w:t> </w:t>
      </w:r>
      <w:r>
        <w:rPr/>
        <w:t>to</w:t>
      </w:r>
      <w:r>
        <w:rPr>
          <w:spacing w:val="-3"/>
        </w:rPr>
        <w:t> </w:t>
      </w:r>
      <w:r>
        <w:rPr/>
        <w:t>determine</w:t>
      </w:r>
      <w:r>
        <w:rPr>
          <w:spacing w:val="-3"/>
        </w:rPr>
        <w:t> </w:t>
      </w:r>
      <w:r>
        <w:rPr/>
        <w:t>the</w:t>
      </w:r>
      <w:r>
        <w:rPr>
          <w:spacing w:val="-3"/>
        </w:rPr>
        <w:t> </w:t>
      </w:r>
      <w:r>
        <w:rPr/>
        <w:t>actual</w:t>
      </w:r>
      <w:r>
        <w:rPr>
          <w:spacing w:val="-2"/>
        </w:rPr>
        <w:t> </w:t>
      </w:r>
      <w:r>
        <w:rPr/>
        <w:t>number of take-home doses within these ranges.</w:t>
      </w:r>
    </w:p>
    <w:p>
      <w:pPr>
        <w:pStyle w:val="BodyText"/>
      </w:pPr>
    </w:p>
    <w:p>
      <w:pPr>
        <w:pStyle w:val="BodyText"/>
        <w:ind w:left="800" w:right="1251"/>
      </w:pPr>
      <w:r>
        <w:rPr/>
        <w:t>OTP</w:t>
      </w:r>
      <w:r>
        <w:rPr>
          <w:spacing w:val="-3"/>
        </w:rPr>
        <w:t> </w:t>
      </w:r>
      <w:r>
        <w:rPr/>
        <w:t>decisions</w:t>
      </w:r>
      <w:r>
        <w:rPr>
          <w:spacing w:val="-4"/>
        </w:rPr>
        <w:t> </w:t>
      </w:r>
      <w:r>
        <w:rPr/>
        <w:t>regarding</w:t>
      </w:r>
      <w:r>
        <w:rPr>
          <w:spacing w:val="-3"/>
        </w:rPr>
        <w:t> </w:t>
      </w:r>
      <w:r>
        <w:rPr/>
        <w:t>dispensing</w:t>
      </w:r>
      <w:r>
        <w:rPr>
          <w:spacing w:val="-3"/>
        </w:rPr>
        <w:t> </w:t>
      </w:r>
      <w:r>
        <w:rPr/>
        <w:t>methadone</w:t>
      </w:r>
      <w:r>
        <w:rPr>
          <w:spacing w:val="-4"/>
        </w:rPr>
        <w:t> </w:t>
      </w:r>
      <w:r>
        <w:rPr/>
        <w:t>for</w:t>
      </w:r>
      <w:r>
        <w:rPr>
          <w:spacing w:val="-4"/>
        </w:rPr>
        <w:t> </w:t>
      </w:r>
      <w:r>
        <w:rPr/>
        <w:t>unsupervised</w:t>
      </w:r>
      <w:r>
        <w:rPr>
          <w:spacing w:val="-3"/>
        </w:rPr>
        <w:t> </w:t>
      </w:r>
      <w:r>
        <w:rPr/>
        <w:t>use</w:t>
      </w:r>
      <w:r>
        <w:rPr>
          <w:spacing w:val="-4"/>
        </w:rPr>
        <w:t> </w:t>
      </w:r>
      <w:r>
        <w:rPr/>
        <w:t>under</w:t>
      </w:r>
      <w:r>
        <w:rPr>
          <w:spacing w:val="-3"/>
        </w:rPr>
        <w:t> </w:t>
      </w:r>
      <w:r>
        <w:rPr/>
        <w:t>this</w:t>
      </w:r>
      <w:r>
        <w:rPr>
          <w:spacing w:val="-4"/>
        </w:rPr>
        <w:t> </w:t>
      </w:r>
      <w:r>
        <w:rPr/>
        <w:t>exemption</w:t>
      </w:r>
      <w:r>
        <w:rPr>
          <w:spacing w:val="-3"/>
        </w:rPr>
        <w:t> </w:t>
      </w:r>
      <w:r>
        <w:rPr/>
        <w:t>shall</w:t>
      </w:r>
      <w:r>
        <w:rPr>
          <w:spacing w:val="-3"/>
        </w:rPr>
        <w:t> </w:t>
      </w:r>
      <w:r>
        <w:rPr/>
        <w:t>be determined by an appropriately licensed OTP medical practitioner or the medical director.</w:t>
      </w:r>
    </w:p>
    <w:p>
      <w:pPr>
        <w:pStyle w:val="BodyText"/>
        <w:ind w:left="800" w:right="1251"/>
      </w:pPr>
      <w:r>
        <w:rPr/>
        <w:t>This exemption only applies to OTPs whose states concur with the exercise of this exemption and its conditions within their states. Massachusetts concurred with the exercise of this exemption and has communicated</w:t>
      </w:r>
      <w:r>
        <w:rPr>
          <w:spacing w:val="-4"/>
        </w:rPr>
        <w:t> </w:t>
      </w:r>
      <w:r>
        <w:rPr/>
        <w:t>this</w:t>
      </w:r>
      <w:r>
        <w:rPr>
          <w:spacing w:val="-5"/>
        </w:rPr>
        <w:t> </w:t>
      </w:r>
      <w:r>
        <w:rPr/>
        <w:t>concurrence</w:t>
      </w:r>
      <w:r>
        <w:rPr>
          <w:spacing w:val="-5"/>
        </w:rPr>
        <w:t> </w:t>
      </w:r>
      <w:r>
        <w:rPr/>
        <w:t>with</w:t>
      </w:r>
      <w:r>
        <w:rPr>
          <w:spacing w:val="-4"/>
        </w:rPr>
        <w:t> </w:t>
      </w:r>
      <w:r>
        <w:rPr/>
        <w:t>SAMHSA.</w:t>
      </w:r>
      <w:r>
        <w:rPr>
          <w:spacing w:val="-4"/>
        </w:rPr>
        <w:t> </w:t>
      </w:r>
      <w:r>
        <w:rPr/>
        <w:t>DPH</w:t>
      </w:r>
      <w:r>
        <w:rPr>
          <w:spacing w:val="-3"/>
        </w:rPr>
        <w:t> </w:t>
      </w:r>
      <w:r>
        <w:rPr/>
        <w:t>BSAS</w:t>
      </w:r>
      <w:r>
        <w:rPr>
          <w:spacing w:val="-4"/>
        </w:rPr>
        <w:t> </w:t>
      </w:r>
      <w:r>
        <w:rPr/>
        <w:t>OTP</w:t>
      </w:r>
      <w:r>
        <w:rPr>
          <w:spacing w:val="-4"/>
        </w:rPr>
        <w:t> </w:t>
      </w:r>
      <w:r>
        <w:rPr/>
        <w:t>regulations</w:t>
      </w:r>
      <w:r>
        <w:rPr>
          <w:spacing w:val="-5"/>
        </w:rPr>
        <w:t> </w:t>
      </w:r>
      <w:r>
        <w:rPr/>
        <w:t>align</w:t>
      </w:r>
      <w:r>
        <w:rPr>
          <w:spacing w:val="-4"/>
        </w:rPr>
        <w:t> </w:t>
      </w:r>
      <w:r>
        <w:rPr/>
        <w:t>with</w:t>
      </w:r>
      <w:r>
        <w:rPr>
          <w:spacing w:val="-4"/>
        </w:rPr>
        <w:t> </w:t>
      </w:r>
      <w:r>
        <w:rPr/>
        <w:t>SAMHSA’s</w:t>
      </w:r>
    </w:p>
    <w:p>
      <w:pPr>
        <w:spacing w:after="0"/>
        <w:sectPr>
          <w:type w:val="continuous"/>
          <w:pgSz w:w="12240" w:h="15840"/>
          <w:pgMar w:top="200" w:bottom="280" w:left="640" w:right="260"/>
        </w:sectPr>
      </w:pPr>
    </w:p>
    <w:p>
      <w:pPr>
        <w:pStyle w:val="BodyText"/>
        <w:spacing w:before="80"/>
        <w:ind w:left="800" w:right="1251"/>
      </w:pPr>
      <w:r>
        <w:rPr/>
        <w:t>federal</w:t>
      </w:r>
      <w:r>
        <w:rPr>
          <w:spacing w:val="-4"/>
        </w:rPr>
        <w:t> </w:t>
      </w:r>
      <w:r>
        <w:rPr/>
        <w:t>OTP</w:t>
      </w:r>
      <w:r>
        <w:rPr>
          <w:spacing w:val="-4"/>
        </w:rPr>
        <w:t> </w:t>
      </w:r>
      <w:r>
        <w:rPr/>
        <w:t>regulations</w:t>
      </w:r>
      <w:r>
        <w:rPr>
          <w:spacing w:val="-4"/>
        </w:rPr>
        <w:t> </w:t>
      </w:r>
      <w:r>
        <w:rPr/>
        <w:t>and</w:t>
      </w:r>
      <w:r>
        <w:rPr>
          <w:spacing w:val="-4"/>
        </w:rPr>
        <w:t> </w:t>
      </w:r>
      <w:r>
        <w:rPr/>
        <w:t>guidance.</w:t>
      </w:r>
      <w:r>
        <w:rPr>
          <w:spacing w:val="-4"/>
        </w:rPr>
        <w:t> </w:t>
      </w:r>
      <w:r>
        <w:rPr/>
        <w:t>Exception</w:t>
      </w:r>
      <w:r>
        <w:rPr>
          <w:spacing w:val="-4"/>
        </w:rPr>
        <w:t> </w:t>
      </w:r>
      <w:r>
        <w:rPr/>
        <w:t>Requests</w:t>
      </w:r>
      <w:r>
        <w:rPr>
          <w:spacing w:val="-4"/>
        </w:rPr>
        <w:t> </w:t>
      </w:r>
      <w:r>
        <w:rPr/>
        <w:t>must</w:t>
      </w:r>
      <w:r>
        <w:rPr>
          <w:spacing w:val="-4"/>
        </w:rPr>
        <w:t> </w:t>
      </w:r>
      <w:r>
        <w:rPr/>
        <w:t>only</w:t>
      </w:r>
      <w:r>
        <w:rPr>
          <w:spacing w:val="-4"/>
        </w:rPr>
        <w:t> </w:t>
      </w:r>
      <w:r>
        <w:rPr/>
        <w:t>be</w:t>
      </w:r>
      <w:r>
        <w:rPr>
          <w:spacing w:val="-4"/>
        </w:rPr>
        <w:t> </w:t>
      </w:r>
      <w:r>
        <w:rPr/>
        <w:t>submitted</w:t>
      </w:r>
      <w:r>
        <w:rPr>
          <w:spacing w:val="-4"/>
        </w:rPr>
        <w:t> </w:t>
      </w:r>
      <w:r>
        <w:rPr/>
        <w:t>to</w:t>
      </w:r>
      <w:r>
        <w:rPr>
          <w:spacing w:val="-4"/>
        </w:rPr>
        <w:t> </w:t>
      </w:r>
      <w:r>
        <w:rPr/>
        <w:t>SAMHSA’s extranet if the request falls outside of the newly released April 2023 Take Home Guidance.</w:t>
      </w:r>
    </w:p>
    <w:p>
      <w:pPr>
        <w:pStyle w:val="BodyText"/>
        <w:spacing w:before="10"/>
        <w:rPr>
          <w:sz w:val="21"/>
        </w:rPr>
      </w:pPr>
    </w:p>
    <w:p>
      <w:pPr>
        <w:pStyle w:val="BodyText"/>
        <w:spacing w:before="1"/>
        <w:ind w:left="799" w:right="1251"/>
      </w:pPr>
      <w:r>
        <w:rPr/>
        <w:t>The</w:t>
      </w:r>
      <w:r>
        <w:rPr>
          <w:spacing w:val="-3"/>
        </w:rPr>
        <w:t> </w:t>
      </w:r>
      <w:r>
        <w:rPr/>
        <w:t>table</w:t>
      </w:r>
      <w:r>
        <w:rPr>
          <w:spacing w:val="-3"/>
        </w:rPr>
        <w:t> </w:t>
      </w:r>
      <w:r>
        <w:rPr/>
        <w:t>below</w:t>
      </w:r>
      <w:r>
        <w:rPr>
          <w:spacing w:val="-3"/>
        </w:rPr>
        <w:t> </w:t>
      </w:r>
      <w:r>
        <w:rPr/>
        <w:t>shows</w:t>
      </w:r>
      <w:r>
        <w:rPr>
          <w:spacing w:val="-3"/>
        </w:rPr>
        <w:t> </w:t>
      </w:r>
      <w:r>
        <w:rPr/>
        <w:t>the</w:t>
      </w:r>
      <w:r>
        <w:rPr>
          <w:spacing w:val="-3"/>
        </w:rPr>
        <w:t> </w:t>
      </w:r>
      <w:r>
        <w:rPr/>
        <w:t>most</w:t>
      </w:r>
      <w:r>
        <w:rPr>
          <w:spacing w:val="-2"/>
        </w:rPr>
        <w:t> </w:t>
      </w:r>
      <w:r>
        <w:rPr/>
        <w:t>current</w:t>
      </w:r>
      <w:r>
        <w:rPr>
          <w:spacing w:val="-2"/>
        </w:rPr>
        <w:t> </w:t>
      </w:r>
      <w:r>
        <w:rPr/>
        <w:t>state</w:t>
      </w:r>
      <w:r>
        <w:rPr>
          <w:spacing w:val="-3"/>
        </w:rPr>
        <w:t> </w:t>
      </w:r>
      <w:r>
        <w:rPr/>
        <w:t>and</w:t>
      </w:r>
      <w:r>
        <w:rPr>
          <w:spacing w:val="-2"/>
        </w:rPr>
        <w:t> </w:t>
      </w:r>
      <w:r>
        <w:rPr/>
        <w:t>federal</w:t>
      </w:r>
      <w:r>
        <w:rPr>
          <w:spacing w:val="-2"/>
        </w:rPr>
        <w:t> </w:t>
      </w:r>
      <w:r>
        <w:rPr/>
        <w:t>OTP</w:t>
      </w:r>
      <w:r>
        <w:rPr>
          <w:spacing w:val="-2"/>
        </w:rPr>
        <w:t> </w:t>
      </w:r>
      <w:r>
        <w:rPr/>
        <w:t>take-home</w:t>
      </w:r>
      <w:r>
        <w:rPr>
          <w:spacing w:val="-3"/>
        </w:rPr>
        <w:t> </w:t>
      </w:r>
      <w:r>
        <w:rPr/>
        <w:t>requirements</w:t>
      </w:r>
      <w:r>
        <w:rPr>
          <w:spacing w:val="-3"/>
        </w:rPr>
        <w:t> </w:t>
      </w:r>
      <w:r>
        <w:rPr/>
        <w:t>effective</w:t>
      </w:r>
      <w:r>
        <w:rPr>
          <w:spacing w:val="-3"/>
        </w:rPr>
        <w:t> </w:t>
      </w:r>
      <w:r>
        <w:rPr/>
        <w:t>May</w:t>
      </w:r>
      <w:r>
        <w:rPr>
          <w:spacing w:val="-2"/>
        </w:rPr>
        <w:t> </w:t>
      </w:r>
      <w:r>
        <w:rPr/>
        <w:t>11, </w:t>
      </w:r>
      <w:r>
        <w:rPr>
          <w:spacing w:val="-2"/>
        </w:rPr>
        <w:t>2023.</w:t>
      </w:r>
    </w:p>
    <w:p>
      <w:pPr>
        <w:pStyle w:val="BodyText"/>
      </w:pPr>
    </w:p>
    <w:tbl>
      <w:tblPr>
        <w:tblW w:w="0" w:type="auto"/>
        <w:jc w:val="left"/>
        <w:tblInd w:w="2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7"/>
        <w:gridCol w:w="3960"/>
      </w:tblGrid>
      <w:tr>
        <w:trPr>
          <w:trHeight w:val="710" w:hRule="atLeast"/>
        </w:trPr>
        <w:tc>
          <w:tcPr>
            <w:tcW w:w="2627" w:type="dxa"/>
          </w:tcPr>
          <w:p>
            <w:pPr>
              <w:pStyle w:val="TableParagraph"/>
              <w:spacing w:line="253" w:lineRule="exact"/>
              <w:ind w:left="652"/>
              <w:rPr>
                <w:b/>
                <w:sz w:val="22"/>
              </w:rPr>
            </w:pPr>
            <w:r>
              <w:rPr>
                <w:b/>
                <w:spacing w:val="-2"/>
                <w:sz w:val="22"/>
              </w:rPr>
              <w:t>Requirements</w:t>
            </w:r>
          </w:p>
        </w:tc>
        <w:tc>
          <w:tcPr>
            <w:tcW w:w="3960" w:type="dxa"/>
          </w:tcPr>
          <w:p>
            <w:pPr>
              <w:pStyle w:val="TableParagraph"/>
              <w:ind w:left="462" w:right="153" w:hanging="125"/>
              <w:rPr>
                <w:b/>
                <w:sz w:val="22"/>
              </w:rPr>
            </w:pPr>
            <w:r>
              <w:rPr>
                <w:b/>
                <w:sz w:val="22"/>
              </w:rPr>
              <w:t>April</w:t>
            </w:r>
            <w:r>
              <w:rPr>
                <w:b/>
                <w:spacing w:val="-12"/>
                <w:sz w:val="22"/>
              </w:rPr>
              <w:t> </w:t>
            </w:r>
            <w:r>
              <w:rPr>
                <w:b/>
                <w:sz w:val="22"/>
              </w:rPr>
              <w:t>2023</w:t>
            </w:r>
            <w:r>
              <w:rPr>
                <w:b/>
                <w:spacing w:val="-13"/>
                <w:sz w:val="22"/>
              </w:rPr>
              <w:t> </w:t>
            </w:r>
            <w:r>
              <w:rPr>
                <w:b/>
                <w:sz w:val="22"/>
              </w:rPr>
              <w:t>Methadone</w:t>
            </w:r>
            <w:r>
              <w:rPr>
                <w:b/>
                <w:spacing w:val="-13"/>
                <w:sz w:val="22"/>
              </w:rPr>
              <w:t> </w:t>
            </w:r>
            <w:r>
              <w:rPr>
                <w:b/>
                <w:sz w:val="22"/>
              </w:rPr>
              <w:t>Take-Home Flexibilities Extension Guidance</w:t>
            </w:r>
          </w:p>
        </w:tc>
      </w:tr>
      <w:tr>
        <w:trPr>
          <w:trHeight w:val="8094" w:hRule="atLeast"/>
        </w:trPr>
        <w:tc>
          <w:tcPr>
            <w:tcW w:w="2627" w:type="dxa"/>
          </w:tcPr>
          <w:p>
            <w:pPr>
              <w:pStyle w:val="TableParagraph"/>
              <w:spacing w:before="11"/>
              <w:rPr>
                <w:sz w:val="21"/>
              </w:rPr>
            </w:pPr>
          </w:p>
          <w:p>
            <w:pPr>
              <w:pStyle w:val="TableParagraph"/>
              <w:ind w:left="107"/>
              <w:rPr>
                <w:sz w:val="22"/>
              </w:rPr>
            </w:pPr>
            <w:r>
              <w:rPr>
                <w:sz w:val="22"/>
              </w:rPr>
              <w:t>Factors</w:t>
            </w:r>
            <w:r>
              <w:rPr>
                <w:spacing w:val="-6"/>
                <w:sz w:val="22"/>
              </w:rPr>
              <w:t> </w:t>
            </w:r>
            <w:r>
              <w:rPr>
                <w:sz w:val="22"/>
              </w:rPr>
              <w:t>to</w:t>
            </w:r>
            <w:r>
              <w:rPr>
                <w:spacing w:val="-4"/>
                <w:sz w:val="22"/>
              </w:rPr>
              <w:t> </w:t>
            </w:r>
            <w:r>
              <w:rPr>
                <w:sz w:val="22"/>
              </w:rPr>
              <w:t>be</w:t>
            </w:r>
            <w:r>
              <w:rPr>
                <w:spacing w:val="-5"/>
                <w:sz w:val="22"/>
              </w:rPr>
              <w:t> </w:t>
            </w:r>
            <w:r>
              <w:rPr>
                <w:spacing w:val="-2"/>
                <w:sz w:val="22"/>
              </w:rPr>
              <w:t>Considered</w:t>
            </w:r>
          </w:p>
        </w:tc>
        <w:tc>
          <w:tcPr>
            <w:tcW w:w="3960" w:type="dxa"/>
          </w:tcPr>
          <w:p>
            <w:pPr>
              <w:pStyle w:val="TableParagraph"/>
              <w:spacing w:before="11"/>
              <w:rPr>
                <w:sz w:val="21"/>
              </w:rPr>
            </w:pPr>
          </w:p>
          <w:p>
            <w:pPr>
              <w:pStyle w:val="TableParagraph"/>
              <w:ind w:left="106" w:right="153"/>
              <w:rPr>
                <w:sz w:val="22"/>
              </w:rPr>
            </w:pPr>
            <w:r>
              <w:rPr>
                <w:sz w:val="22"/>
              </w:rPr>
              <w:t>Appropriately licensed OTP medical practitioner or medical director must consider six factors (and other pertinent factors)</w:t>
            </w:r>
            <w:r>
              <w:rPr>
                <w:spacing w:val="-10"/>
                <w:sz w:val="22"/>
              </w:rPr>
              <w:t> </w:t>
            </w:r>
            <w:r>
              <w:rPr>
                <w:sz w:val="22"/>
              </w:rPr>
              <w:t>that</w:t>
            </w:r>
            <w:r>
              <w:rPr>
                <w:spacing w:val="-10"/>
                <w:sz w:val="22"/>
              </w:rPr>
              <w:t> </w:t>
            </w:r>
            <w:r>
              <w:rPr>
                <w:sz w:val="22"/>
              </w:rPr>
              <w:t>indicate</w:t>
            </w:r>
            <w:r>
              <w:rPr>
                <w:spacing w:val="-11"/>
                <w:sz w:val="22"/>
              </w:rPr>
              <w:t> </w:t>
            </w:r>
            <w:r>
              <w:rPr>
                <w:sz w:val="22"/>
              </w:rPr>
              <w:t>whether</w:t>
            </w:r>
            <w:r>
              <w:rPr>
                <w:spacing w:val="-10"/>
                <w:sz w:val="22"/>
              </w:rPr>
              <w:t> </w:t>
            </w:r>
            <w:r>
              <w:rPr>
                <w:sz w:val="22"/>
              </w:rPr>
              <w:t>therapeutic benefits</w:t>
            </w:r>
            <w:r>
              <w:rPr>
                <w:spacing w:val="-2"/>
                <w:sz w:val="22"/>
              </w:rPr>
              <w:t> </w:t>
            </w:r>
            <w:r>
              <w:rPr>
                <w:sz w:val="22"/>
              </w:rPr>
              <w:t>of</w:t>
            </w:r>
            <w:r>
              <w:rPr>
                <w:spacing w:val="-1"/>
                <w:sz w:val="22"/>
              </w:rPr>
              <w:t> </w:t>
            </w:r>
            <w:r>
              <w:rPr>
                <w:sz w:val="22"/>
              </w:rPr>
              <w:t>unsupervised</w:t>
            </w:r>
            <w:r>
              <w:rPr>
                <w:spacing w:val="-1"/>
                <w:sz w:val="22"/>
              </w:rPr>
              <w:t> </w:t>
            </w:r>
            <w:r>
              <w:rPr>
                <w:sz w:val="22"/>
              </w:rPr>
              <w:t>doses</w:t>
            </w:r>
            <w:r>
              <w:rPr>
                <w:spacing w:val="-2"/>
                <w:sz w:val="22"/>
              </w:rPr>
              <w:t> </w:t>
            </w:r>
            <w:r>
              <w:rPr>
                <w:sz w:val="22"/>
              </w:rPr>
              <w:t>outweigh the risks:</w:t>
            </w:r>
          </w:p>
          <w:p>
            <w:pPr>
              <w:pStyle w:val="TableParagraph"/>
              <w:rPr>
                <w:sz w:val="22"/>
              </w:rPr>
            </w:pPr>
          </w:p>
          <w:p>
            <w:pPr>
              <w:pStyle w:val="TableParagraph"/>
              <w:numPr>
                <w:ilvl w:val="0"/>
                <w:numId w:val="2"/>
              </w:numPr>
              <w:tabs>
                <w:tab w:pos="419" w:val="left" w:leader="none"/>
              </w:tabs>
              <w:spacing w:line="240" w:lineRule="auto" w:before="0" w:after="0"/>
              <w:ind w:left="106" w:right="224" w:firstLine="0"/>
              <w:jc w:val="left"/>
              <w:rPr>
                <w:sz w:val="22"/>
              </w:rPr>
            </w:pPr>
            <w:r>
              <w:rPr>
                <w:sz w:val="22"/>
              </w:rPr>
              <w:t>Absence of active substance use disorders, other physical or behavioral health</w:t>
            </w:r>
            <w:r>
              <w:rPr>
                <w:spacing w:val="-6"/>
                <w:sz w:val="22"/>
              </w:rPr>
              <w:t> </w:t>
            </w:r>
            <w:r>
              <w:rPr>
                <w:sz w:val="22"/>
              </w:rPr>
              <w:t>conditions</w:t>
            </w:r>
            <w:r>
              <w:rPr>
                <w:spacing w:val="-7"/>
                <w:sz w:val="22"/>
              </w:rPr>
              <w:t> </w:t>
            </w:r>
            <w:r>
              <w:rPr>
                <w:sz w:val="22"/>
              </w:rPr>
              <w:t>that</w:t>
            </w:r>
            <w:r>
              <w:rPr>
                <w:spacing w:val="-6"/>
                <w:sz w:val="22"/>
              </w:rPr>
              <w:t> </w:t>
            </w:r>
            <w:r>
              <w:rPr>
                <w:sz w:val="22"/>
              </w:rPr>
              <w:t>increase</w:t>
            </w:r>
            <w:r>
              <w:rPr>
                <w:spacing w:val="-7"/>
                <w:sz w:val="22"/>
              </w:rPr>
              <w:t> </w:t>
            </w:r>
            <w:r>
              <w:rPr>
                <w:sz w:val="22"/>
              </w:rPr>
              <w:t>the</w:t>
            </w:r>
            <w:r>
              <w:rPr>
                <w:spacing w:val="-7"/>
                <w:sz w:val="22"/>
              </w:rPr>
              <w:t> </w:t>
            </w:r>
            <w:r>
              <w:rPr>
                <w:sz w:val="22"/>
              </w:rPr>
              <w:t>risk</w:t>
            </w:r>
            <w:r>
              <w:rPr>
                <w:spacing w:val="-6"/>
                <w:sz w:val="22"/>
              </w:rPr>
              <w:t> </w:t>
            </w:r>
            <w:r>
              <w:rPr>
                <w:sz w:val="22"/>
              </w:rPr>
              <w:t>of patient harm as it relates to the potential for overdose, or the ability to function </w:t>
            </w:r>
            <w:r>
              <w:rPr>
                <w:spacing w:val="-2"/>
                <w:sz w:val="22"/>
              </w:rPr>
              <w:t>safely;</w:t>
            </w:r>
          </w:p>
          <w:p>
            <w:pPr>
              <w:pStyle w:val="TableParagraph"/>
              <w:rPr>
                <w:sz w:val="22"/>
              </w:rPr>
            </w:pPr>
          </w:p>
          <w:p>
            <w:pPr>
              <w:pStyle w:val="TableParagraph"/>
              <w:numPr>
                <w:ilvl w:val="0"/>
                <w:numId w:val="2"/>
              </w:numPr>
              <w:tabs>
                <w:tab w:pos="431" w:val="left" w:leader="none"/>
              </w:tabs>
              <w:spacing w:line="240" w:lineRule="auto" w:before="0" w:after="0"/>
              <w:ind w:left="106" w:right="480" w:firstLine="0"/>
              <w:jc w:val="left"/>
              <w:rPr>
                <w:sz w:val="22"/>
              </w:rPr>
            </w:pPr>
            <w:r>
              <w:rPr>
                <w:sz w:val="22"/>
              </w:rPr>
              <w:t>Regularity of attendance for supervised</w:t>
            </w:r>
            <w:r>
              <w:rPr>
                <w:spacing w:val="-14"/>
                <w:sz w:val="22"/>
              </w:rPr>
              <w:t> </w:t>
            </w:r>
            <w:r>
              <w:rPr>
                <w:sz w:val="22"/>
              </w:rPr>
              <w:t>medication</w:t>
            </w:r>
            <w:r>
              <w:rPr>
                <w:spacing w:val="-14"/>
                <w:sz w:val="22"/>
              </w:rPr>
              <w:t> </w:t>
            </w:r>
            <w:r>
              <w:rPr>
                <w:sz w:val="22"/>
              </w:rPr>
              <w:t>administration;</w:t>
            </w:r>
          </w:p>
          <w:p>
            <w:pPr>
              <w:pStyle w:val="TableParagraph"/>
              <w:rPr>
                <w:sz w:val="22"/>
              </w:rPr>
            </w:pPr>
          </w:p>
          <w:p>
            <w:pPr>
              <w:pStyle w:val="TableParagraph"/>
              <w:numPr>
                <w:ilvl w:val="0"/>
                <w:numId w:val="2"/>
              </w:numPr>
              <w:tabs>
                <w:tab w:pos="406" w:val="left" w:leader="none"/>
              </w:tabs>
              <w:spacing w:line="240" w:lineRule="auto" w:before="0" w:after="0"/>
              <w:ind w:left="106" w:right="419" w:firstLine="0"/>
              <w:jc w:val="left"/>
              <w:rPr>
                <w:sz w:val="22"/>
              </w:rPr>
            </w:pPr>
            <w:r>
              <w:rPr>
                <w:sz w:val="22"/>
              </w:rPr>
              <w:t>Absence of serious behavioral problems</w:t>
            </w:r>
            <w:r>
              <w:rPr>
                <w:spacing w:val="-8"/>
                <w:sz w:val="22"/>
              </w:rPr>
              <w:t> </w:t>
            </w:r>
            <w:r>
              <w:rPr>
                <w:sz w:val="22"/>
              </w:rPr>
              <w:t>that</w:t>
            </w:r>
            <w:r>
              <w:rPr>
                <w:spacing w:val="-7"/>
                <w:sz w:val="22"/>
              </w:rPr>
              <w:t> </w:t>
            </w:r>
            <w:r>
              <w:rPr>
                <w:sz w:val="22"/>
              </w:rPr>
              <w:t>endanger</w:t>
            </w:r>
            <w:r>
              <w:rPr>
                <w:spacing w:val="-7"/>
                <w:sz w:val="22"/>
              </w:rPr>
              <w:t> </w:t>
            </w:r>
            <w:r>
              <w:rPr>
                <w:sz w:val="22"/>
              </w:rPr>
              <w:t>the</w:t>
            </w:r>
            <w:r>
              <w:rPr>
                <w:spacing w:val="-9"/>
                <w:sz w:val="22"/>
              </w:rPr>
              <w:t> </w:t>
            </w:r>
            <w:r>
              <w:rPr>
                <w:sz w:val="22"/>
              </w:rPr>
              <w:t>patient,</w:t>
            </w:r>
            <w:r>
              <w:rPr>
                <w:spacing w:val="-7"/>
                <w:sz w:val="22"/>
              </w:rPr>
              <w:t> </w:t>
            </w:r>
            <w:r>
              <w:rPr>
                <w:sz w:val="22"/>
              </w:rPr>
              <w:t>the public or others;</w:t>
            </w:r>
          </w:p>
          <w:p>
            <w:pPr>
              <w:pStyle w:val="TableParagraph"/>
              <w:rPr>
                <w:sz w:val="22"/>
              </w:rPr>
            </w:pPr>
          </w:p>
          <w:p>
            <w:pPr>
              <w:pStyle w:val="TableParagraph"/>
              <w:numPr>
                <w:ilvl w:val="0"/>
                <w:numId w:val="2"/>
              </w:numPr>
              <w:tabs>
                <w:tab w:pos="431" w:val="left" w:leader="none"/>
              </w:tabs>
              <w:spacing w:line="240" w:lineRule="auto" w:before="0" w:after="0"/>
              <w:ind w:left="106" w:right="401" w:firstLine="0"/>
              <w:jc w:val="left"/>
              <w:rPr>
                <w:sz w:val="22"/>
              </w:rPr>
            </w:pPr>
            <w:r>
              <w:rPr>
                <w:sz w:val="22"/>
              </w:rPr>
              <w:t>Absence</w:t>
            </w:r>
            <w:r>
              <w:rPr>
                <w:spacing w:val="-9"/>
                <w:sz w:val="22"/>
              </w:rPr>
              <w:t> </w:t>
            </w:r>
            <w:r>
              <w:rPr>
                <w:sz w:val="22"/>
              </w:rPr>
              <w:t>of</w:t>
            </w:r>
            <w:r>
              <w:rPr>
                <w:spacing w:val="-10"/>
                <w:sz w:val="22"/>
              </w:rPr>
              <w:t> </w:t>
            </w:r>
            <w:r>
              <w:rPr>
                <w:sz w:val="22"/>
              </w:rPr>
              <w:t>known</w:t>
            </w:r>
            <w:r>
              <w:rPr>
                <w:spacing w:val="-11"/>
                <w:sz w:val="22"/>
              </w:rPr>
              <w:t> </w:t>
            </w:r>
            <w:r>
              <w:rPr>
                <w:sz w:val="22"/>
              </w:rPr>
              <w:t>recent</w:t>
            </w:r>
            <w:r>
              <w:rPr>
                <w:spacing w:val="-10"/>
                <w:sz w:val="22"/>
              </w:rPr>
              <w:t> </w:t>
            </w:r>
            <w:r>
              <w:rPr>
                <w:sz w:val="22"/>
              </w:rPr>
              <w:t>diversion activity; and</w:t>
            </w:r>
          </w:p>
          <w:p>
            <w:pPr>
              <w:pStyle w:val="TableParagraph"/>
              <w:rPr>
                <w:sz w:val="22"/>
              </w:rPr>
            </w:pPr>
          </w:p>
          <w:p>
            <w:pPr>
              <w:pStyle w:val="TableParagraph"/>
              <w:numPr>
                <w:ilvl w:val="0"/>
                <w:numId w:val="2"/>
              </w:numPr>
              <w:tabs>
                <w:tab w:pos="405" w:val="left" w:leader="none"/>
              </w:tabs>
              <w:spacing w:line="240" w:lineRule="auto" w:before="0" w:after="0"/>
              <w:ind w:left="105" w:right="144" w:firstLine="0"/>
              <w:jc w:val="left"/>
              <w:rPr>
                <w:sz w:val="22"/>
              </w:rPr>
            </w:pPr>
            <w:r>
              <w:rPr>
                <w:sz w:val="22"/>
              </w:rPr>
              <w:t>Whether</w:t>
            </w:r>
            <w:r>
              <w:rPr>
                <w:spacing w:val="-9"/>
                <w:sz w:val="22"/>
              </w:rPr>
              <w:t> </w:t>
            </w:r>
            <w:r>
              <w:rPr>
                <w:sz w:val="22"/>
              </w:rPr>
              <w:t>take-home</w:t>
            </w:r>
            <w:r>
              <w:rPr>
                <w:spacing w:val="-10"/>
                <w:sz w:val="22"/>
              </w:rPr>
              <w:t> </w:t>
            </w:r>
            <w:r>
              <w:rPr>
                <w:sz w:val="22"/>
              </w:rPr>
              <w:t>medication</w:t>
            </w:r>
            <w:r>
              <w:rPr>
                <w:spacing w:val="-9"/>
                <w:sz w:val="22"/>
              </w:rPr>
              <w:t> </w:t>
            </w:r>
            <w:r>
              <w:rPr>
                <w:sz w:val="22"/>
              </w:rPr>
              <w:t>can</w:t>
            </w:r>
            <w:r>
              <w:rPr>
                <w:spacing w:val="-9"/>
                <w:sz w:val="22"/>
              </w:rPr>
              <w:t> </w:t>
            </w:r>
            <w:r>
              <w:rPr>
                <w:sz w:val="22"/>
              </w:rPr>
              <w:t>be safely transported and stored; and</w:t>
            </w:r>
          </w:p>
          <w:p>
            <w:pPr>
              <w:pStyle w:val="TableParagraph"/>
              <w:rPr>
                <w:sz w:val="22"/>
              </w:rPr>
            </w:pPr>
          </w:p>
          <w:p>
            <w:pPr>
              <w:pStyle w:val="TableParagraph"/>
              <w:numPr>
                <w:ilvl w:val="0"/>
                <w:numId w:val="2"/>
              </w:numPr>
              <w:tabs>
                <w:tab w:pos="382" w:val="left" w:leader="none"/>
              </w:tabs>
              <w:spacing w:line="240" w:lineRule="auto" w:before="0" w:after="0"/>
              <w:ind w:left="106" w:right="211" w:firstLine="0"/>
              <w:jc w:val="left"/>
              <w:rPr>
                <w:sz w:val="22"/>
              </w:rPr>
            </w:pPr>
            <w:r>
              <w:rPr>
                <w:sz w:val="22"/>
              </w:rPr>
              <w:t>Any other criteria that the medical director</w:t>
            </w:r>
            <w:r>
              <w:rPr>
                <w:spacing w:val="-9"/>
                <w:sz w:val="22"/>
              </w:rPr>
              <w:t> </w:t>
            </w:r>
            <w:r>
              <w:rPr>
                <w:sz w:val="22"/>
              </w:rPr>
              <w:t>or</w:t>
            </w:r>
            <w:r>
              <w:rPr>
                <w:spacing w:val="-9"/>
                <w:sz w:val="22"/>
              </w:rPr>
              <w:t> </w:t>
            </w:r>
            <w:r>
              <w:rPr>
                <w:sz w:val="22"/>
              </w:rPr>
              <w:t>medical</w:t>
            </w:r>
            <w:r>
              <w:rPr>
                <w:spacing w:val="-9"/>
                <w:sz w:val="22"/>
              </w:rPr>
              <w:t> </w:t>
            </w:r>
            <w:r>
              <w:rPr>
                <w:sz w:val="22"/>
              </w:rPr>
              <w:t>practitioner</w:t>
            </w:r>
            <w:r>
              <w:rPr>
                <w:spacing w:val="-9"/>
                <w:sz w:val="22"/>
              </w:rPr>
              <w:t> </w:t>
            </w:r>
            <w:r>
              <w:rPr>
                <w:sz w:val="22"/>
              </w:rPr>
              <w:t>considers</w:t>
            </w:r>
          </w:p>
          <w:p>
            <w:pPr>
              <w:pStyle w:val="TableParagraph"/>
              <w:spacing w:line="252" w:lineRule="exact"/>
              <w:ind w:left="106" w:right="153"/>
              <w:rPr>
                <w:sz w:val="22"/>
              </w:rPr>
            </w:pPr>
            <w:r>
              <w:rPr>
                <w:sz w:val="22"/>
              </w:rPr>
              <w:t>relevant</w:t>
            </w:r>
            <w:r>
              <w:rPr>
                <w:spacing w:val="-6"/>
                <w:sz w:val="22"/>
              </w:rPr>
              <w:t> </w:t>
            </w:r>
            <w:r>
              <w:rPr>
                <w:sz w:val="22"/>
              </w:rPr>
              <w:t>to</w:t>
            </w:r>
            <w:r>
              <w:rPr>
                <w:spacing w:val="-6"/>
                <w:sz w:val="22"/>
              </w:rPr>
              <w:t> </w:t>
            </w:r>
            <w:r>
              <w:rPr>
                <w:sz w:val="22"/>
              </w:rPr>
              <w:t>the</w:t>
            </w:r>
            <w:r>
              <w:rPr>
                <w:spacing w:val="-7"/>
                <w:sz w:val="22"/>
              </w:rPr>
              <w:t> </w:t>
            </w:r>
            <w:r>
              <w:rPr>
                <w:sz w:val="22"/>
              </w:rPr>
              <w:t>patient's</w:t>
            </w:r>
            <w:r>
              <w:rPr>
                <w:spacing w:val="-7"/>
                <w:sz w:val="22"/>
              </w:rPr>
              <w:t> </w:t>
            </w:r>
            <w:r>
              <w:rPr>
                <w:sz w:val="22"/>
              </w:rPr>
              <w:t>safety</w:t>
            </w:r>
            <w:r>
              <w:rPr>
                <w:spacing w:val="-6"/>
                <w:sz w:val="22"/>
              </w:rPr>
              <w:t> </w:t>
            </w:r>
            <w:r>
              <w:rPr>
                <w:sz w:val="22"/>
              </w:rPr>
              <w:t>and</w:t>
            </w:r>
            <w:r>
              <w:rPr>
                <w:spacing w:val="-6"/>
                <w:sz w:val="22"/>
              </w:rPr>
              <w:t> </w:t>
            </w:r>
            <w:r>
              <w:rPr>
                <w:sz w:val="22"/>
              </w:rPr>
              <w:t>the public's health.</w:t>
            </w:r>
          </w:p>
        </w:tc>
      </w:tr>
      <w:tr>
        <w:trPr>
          <w:trHeight w:val="1827" w:hRule="atLeast"/>
        </w:trPr>
        <w:tc>
          <w:tcPr>
            <w:tcW w:w="2627" w:type="dxa"/>
          </w:tcPr>
          <w:p>
            <w:pPr>
              <w:pStyle w:val="TableParagraph"/>
              <w:spacing w:before="11"/>
              <w:rPr>
                <w:sz w:val="21"/>
              </w:rPr>
            </w:pPr>
          </w:p>
          <w:p>
            <w:pPr>
              <w:pStyle w:val="TableParagraph"/>
              <w:ind w:left="107"/>
              <w:rPr>
                <w:sz w:val="22"/>
              </w:rPr>
            </w:pPr>
            <w:r>
              <w:rPr>
                <w:sz w:val="22"/>
              </w:rPr>
              <w:t>Time</w:t>
            </w:r>
            <w:r>
              <w:rPr>
                <w:spacing w:val="-7"/>
                <w:sz w:val="22"/>
              </w:rPr>
              <w:t> </w:t>
            </w:r>
            <w:r>
              <w:rPr>
                <w:spacing w:val="-2"/>
                <w:sz w:val="22"/>
              </w:rPr>
              <w:t>Restrictions</w:t>
            </w:r>
          </w:p>
        </w:tc>
        <w:tc>
          <w:tcPr>
            <w:tcW w:w="3960" w:type="dxa"/>
          </w:tcPr>
          <w:p>
            <w:pPr>
              <w:pStyle w:val="TableParagraph"/>
              <w:spacing w:before="11"/>
              <w:rPr>
                <w:sz w:val="21"/>
              </w:rPr>
            </w:pPr>
          </w:p>
          <w:p>
            <w:pPr>
              <w:pStyle w:val="TableParagraph"/>
              <w:ind w:left="106" w:right="153"/>
              <w:rPr>
                <w:sz w:val="22"/>
              </w:rPr>
            </w:pPr>
            <w:r>
              <w:rPr>
                <w:sz w:val="22"/>
              </w:rPr>
              <w:t>During</w:t>
            </w:r>
            <w:r>
              <w:rPr>
                <w:spacing w:val="-8"/>
                <w:sz w:val="22"/>
              </w:rPr>
              <w:t> </w:t>
            </w:r>
            <w:r>
              <w:rPr>
                <w:sz w:val="22"/>
              </w:rPr>
              <w:t>the</w:t>
            </w:r>
            <w:r>
              <w:rPr>
                <w:spacing w:val="-9"/>
                <w:sz w:val="22"/>
              </w:rPr>
              <w:t> </w:t>
            </w:r>
            <w:r>
              <w:rPr>
                <w:sz w:val="22"/>
              </w:rPr>
              <w:t>first</w:t>
            </w:r>
            <w:r>
              <w:rPr>
                <w:spacing w:val="-8"/>
                <w:sz w:val="22"/>
              </w:rPr>
              <w:t> </w:t>
            </w:r>
            <w:r>
              <w:rPr>
                <w:sz w:val="22"/>
              </w:rPr>
              <w:t>14</w:t>
            </w:r>
            <w:r>
              <w:rPr>
                <w:spacing w:val="-8"/>
                <w:sz w:val="22"/>
              </w:rPr>
              <w:t> </w:t>
            </w:r>
            <w:r>
              <w:rPr>
                <w:sz w:val="22"/>
              </w:rPr>
              <w:t>days,</w:t>
            </w:r>
            <w:r>
              <w:rPr>
                <w:spacing w:val="-8"/>
                <w:sz w:val="22"/>
              </w:rPr>
              <w:t> </w:t>
            </w:r>
            <w:r>
              <w:rPr>
                <w:sz w:val="22"/>
              </w:rPr>
              <w:t>take-home limited to 7 days.</w:t>
            </w:r>
          </w:p>
          <w:p>
            <w:pPr>
              <w:pStyle w:val="TableParagraph"/>
              <w:ind w:left="106" w:right="153"/>
              <w:rPr>
                <w:sz w:val="22"/>
              </w:rPr>
            </w:pPr>
            <w:r>
              <w:rPr>
                <w:sz w:val="22"/>
              </w:rPr>
              <w:t>From</w:t>
            </w:r>
            <w:r>
              <w:rPr>
                <w:spacing w:val="-7"/>
                <w:sz w:val="22"/>
              </w:rPr>
              <w:t> </w:t>
            </w:r>
            <w:r>
              <w:rPr>
                <w:sz w:val="22"/>
              </w:rPr>
              <w:t>15</w:t>
            </w:r>
            <w:r>
              <w:rPr>
                <w:spacing w:val="-6"/>
                <w:sz w:val="22"/>
              </w:rPr>
              <w:t> </w:t>
            </w:r>
            <w:r>
              <w:rPr>
                <w:sz w:val="22"/>
              </w:rPr>
              <w:t>days,</w:t>
            </w:r>
            <w:r>
              <w:rPr>
                <w:spacing w:val="-6"/>
                <w:sz w:val="22"/>
              </w:rPr>
              <w:t> </w:t>
            </w:r>
            <w:r>
              <w:rPr>
                <w:sz w:val="22"/>
              </w:rPr>
              <w:t>take-home</w:t>
            </w:r>
            <w:r>
              <w:rPr>
                <w:spacing w:val="-7"/>
                <w:sz w:val="22"/>
              </w:rPr>
              <w:t> </w:t>
            </w:r>
            <w:r>
              <w:rPr>
                <w:sz w:val="22"/>
              </w:rPr>
              <w:t>is</w:t>
            </w:r>
            <w:r>
              <w:rPr>
                <w:spacing w:val="-7"/>
                <w:sz w:val="22"/>
              </w:rPr>
              <w:t> </w:t>
            </w:r>
            <w:r>
              <w:rPr>
                <w:sz w:val="22"/>
              </w:rPr>
              <w:t>limited</w:t>
            </w:r>
            <w:r>
              <w:rPr>
                <w:spacing w:val="-6"/>
                <w:sz w:val="22"/>
              </w:rPr>
              <w:t> </w:t>
            </w:r>
            <w:r>
              <w:rPr>
                <w:sz w:val="22"/>
              </w:rPr>
              <w:t>to</w:t>
            </w:r>
            <w:r>
              <w:rPr>
                <w:spacing w:val="-6"/>
                <w:sz w:val="22"/>
              </w:rPr>
              <w:t> </w:t>
            </w:r>
            <w:r>
              <w:rPr>
                <w:sz w:val="22"/>
              </w:rPr>
              <w:t>14 </w:t>
            </w:r>
            <w:r>
              <w:rPr>
                <w:spacing w:val="-2"/>
                <w:sz w:val="22"/>
              </w:rPr>
              <w:t>days.</w:t>
            </w:r>
          </w:p>
          <w:p>
            <w:pPr>
              <w:pStyle w:val="TableParagraph"/>
              <w:spacing w:before="1"/>
              <w:ind w:left="106" w:right="153"/>
              <w:rPr>
                <w:sz w:val="22"/>
              </w:rPr>
            </w:pPr>
            <w:r>
              <w:rPr>
                <w:sz w:val="22"/>
              </w:rPr>
              <w:t>From</w:t>
            </w:r>
            <w:r>
              <w:rPr>
                <w:spacing w:val="-7"/>
                <w:sz w:val="22"/>
              </w:rPr>
              <w:t> </w:t>
            </w:r>
            <w:r>
              <w:rPr>
                <w:sz w:val="22"/>
              </w:rPr>
              <w:t>31</w:t>
            </w:r>
            <w:r>
              <w:rPr>
                <w:spacing w:val="-6"/>
                <w:sz w:val="22"/>
              </w:rPr>
              <w:t> </w:t>
            </w:r>
            <w:r>
              <w:rPr>
                <w:sz w:val="22"/>
              </w:rPr>
              <w:t>days,</w:t>
            </w:r>
            <w:r>
              <w:rPr>
                <w:spacing w:val="-6"/>
                <w:sz w:val="22"/>
              </w:rPr>
              <w:t> </w:t>
            </w:r>
            <w:r>
              <w:rPr>
                <w:sz w:val="22"/>
              </w:rPr>
              <w:t>take-home</w:t>
            </w:r>
            <w:r>
              <w:rPr>
                <w:spacing w:val="-7"/>
                <w:sz w:val="22"/>
              </w:rPr>
              <w:t> </w:t>
            </w:r>
            <w:r>
              <w:rPr>
                <w:sz w:val="22"/>
              </w:rPr>
              <w:t>is</w:t>
            </w:r>
            <w:r>
              <w:rPr>
                <w:spacing w:val="-7"/>
                <w:sz w:val="22"/>
              </w:rPr>
              <w:t> </w:t>
            </w:r>
            <w:r>
              <w:rPr>
                <w:sz w:val="22"/>
              </w:rPr>
              <w:t>limited</w:t>
            </w:r>
            <w:r>
              <w:rPr>
                <w:spacing w:val="-6"/>
                <w:sz w:val="22"/>
              </w:rPr>
              <w:t> </w:t>
            </w:r>
            <w:r>
              <w:rPr>
                <w:sz w:val="22"/>
              </w:rPr>
              <w:t>to</w:t>
            </w:r>
            <w:r>
              <w:rPr>
                <w:spacing w:val="-6"/>
                <w:sz w:val="22"/>
              </w:rPr>
              <w:t> </w:t>
            </w:r>
            <w:r>
              <w:rPr>
                <w:sz w:val="22"/>
              </w:rPr>
              <w:t>28 </w:t>
            </w:r>
            <w:r>
              <w:rPr>
                <w:spacing w:val="-2"/>
                <w:sz w:val="22"/>
              </w:rPr>
              <w:t>days.</w:t>
            </w:r>
          </w:p>
        </w:tc>
      </w:tr>
    </w:tbl>
    <w:p>
      <w:pPr>
        <w:pStyle w:val="BodyText"/>
        <w:rPr>
          <w:sz w:val="24"/>
        </w:rPr>
      </w:pPr>
    </w:p>
    <w:p>
      <w:pPr>
        <w:pStyle w:val="BodyText"/>
        <w:spacing w:before="11"/>
        <w:rPr>
          <w:sz w:val="19"/>
        </w:rPr>
      </w:pPr>
    </w:p>
    <w:p>
      <w:pPr>
        <w:pStyle w:val="BodyText"/>
        <w:ind w:left="800" w:right="1251"/>
      </w:pPr>
      <w:r>
        <w:rPr/>
        <w:t>Please</w:t>
      </w:r>
      <w:r>
        <w:rPr>
          <w:spacing w:val="-3"/>
        </w:rPr>
        <w:t> </w:t>
      </w:r>
      <w:r>
        <w:rPr/>
        <w:t>contact</w:t>
      </w:r>
      <w:r>
        <w:rPr>
          <w:spacing w:val="-4"/>
        </w:rPr>
        <w:t> </w:t>
      </w:r>
      <w:r>
        <w:rPr/>
        <w:t>Jen</w:t>
      </w:r>
      <w:r>
        <w:rPr>
          <w:spacing w:val="-4"/>
        </w:rPr>
        <w:t> </w:t>
      </w:r>
      <w:r>
        <w:rPr/>
        <w:t>Babich,</w:t>
      </w:r>
      <w:r>
        <w:rPr>
          <w:spacing w:val="-4"/>
        </w:rPr>
        <w:t> </w:t>
      </w:r>
      <w:r>
        <w:rPr/>
        <w:t>SOTA</w:t>
      </w:r>
      <w:r>
        <w:rPr>
          <w:spacing w:val="-5"/>
        </w:rPr>
        <w:t> </w:t>
      </w:r>
      <w:r>
        <w:rPr/>
        <w:t>at</w:t>
      </w:r>
      <w:r>
        <w:rPr>
          <w:spacing w:val="-4"/>
        </w:rPr>
        <w:t> </w:t>
      </w:r>
      <w:hyperlink r:id="rId8">
        <w:r>
          <w:rPr>
            <w:color w:val="0000FF"/>
            <w:u w:val="single" w:color="0000FF"/>
          </w:rPr>
          <w:t>Jennifer.Babich@Mass.Gov</w:t>
        </w:r>
      </w:hyperlink>
      <w:r>
        <w:rPr>
          <w:color w:val="0000FF"/>
          <w:spacing w:val="-5"/>
        </w:rPr>
        <w:t> </w:t>
      </w:r>
      <w:r>
        <w:rPr/>
        <w:t>or</w:t>
      </w:r>
      <w:r>
        <w:rPr>
          <w:spacing w:val="-4"/>
        </w:rPr>
        <w:t> </w:t>
      </w:r>
      <w:r>
        <w:rPr/>
        <w:t>Mike</w:t>
      </w:r>
      <w:r>
        <w:rPr>
          <w:spacing w:val="-5"/>
        </w:rPr>
        <w:t> </w:t>
      </w:r>
      <w:r>
        <w:rPr/>
        <w:t>Gurney,</w:t>
      </w:r>
      <w:r>
        <w:rPr>
          <w:spacing w:val="-4"/>
        </w:rPr>
        <w:t> </w:t>
      </w:r>
      <w:r>
        <w:rPr/>
        <w:t>Opioid</w:t>
      </w:r>
      <w:r>
        <w:rPr>
          <w:spacing w:val="-4"/>
        </w:rPr>
        <w:t> </w:t>
      </w:r>
      <w:r>
        <w:rPr/>
        <w:t>Services Coordinator at </w:t>
      </w:r>
      <w:hyperlink r:id="rId9">
        <w:r>
          <w:rPr>
            <w:color w:val="0000FF"/>
            <w:u w:val="single" w:color="0000FF"/>
          </w:rPr>
          <w:t>Michael.Gurney@Mass.Gov</w:t>
        </w:r>
      </w:hyperlink>
      <w:r>
        <w:rPr>
          <w:color w:val="0000FF"/>
        </w:rPr>
        <w:t> </w:t>
      </w:r>
      <w:r>
        <w:rPr/>
        <w:t>with any questions.</w:t>
      </w:r>
    </w:p>
    <w:sectPr>
      <w:pgSz w:w="12240" w:h="15840"/>
      <w:pgMar w:top="1000" w:bottom="280" w:left="6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Arial Rounded MT Bold">
    <w:altName w:val="Arial Rounded MT Bol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06" w:hanging="313"/>
        <w:jc w:val="left"/>
      </w:pPr>
      <w:rPr>
        <w:rFonts w:hint="default" w:ascii="Times New Roman" w:hAnsi="Times New Roman" w:eastAsia="Times New Roman" w:cs="Times New Roman"/>
        <w:b/>
        <w:bCs/>
        <w:i w:val="0"/>
        <w:iCs w:val="0"/>
        <w:w w:val="99"/>
        <w:sz w:val="22"/>
        <w:szCs w:val="22"/>
        <w:lang w:val="en-US" w:eastAsia="en-US" w:bidi="ar-SA"/>
      </w:rPr>
    </w:lvl>
    <w:lvl w:ilvl="1">
      <w:start w:val="0"/>
      <w:numFmt w:val="bullet"/>
      <w:lvlText w:val="•"/>
      <w:lvlJc w:val="left"/>
      <w:pPr>
        <w:ind w:left="485" w:hanging="313"/>
      </w:pPr>
      <w:rPr>
        <w:rFonts w:hint="default"/>
        <w:lang w:val="en-US" w:eastAsia="en-US" w:bidi="ar-SA"/>
      </w:rPr>
    </w:lvl>
    <w:lvl w:ilvl="2">
      <w:start w:val="0"/>
      <w:numFmt w:val="bullet"/>
      <w:lvlText w:val="•"/>
      <w:lvlJc w:val="left"/>
      <w:pPr>
        <w:ind w:left="870" w:hanging="313"/>
      </w:pPr>
      <w:rPr>
        <w:rFonts w:hint="default"/>
        <w:lang w:val="en-US" w:eastAsia="en-US" w:bidi="ar-SA"/>
      </w:rPr>
    </w:lvl>
    <w:lvl w:ilvl="3">
      <w:start w:val="0"/>
      <w:numFmt w:val="bullet"/>
      <w:lvlText w:val="•"/>
      <w:lvlJc w:val="left"/>
      <w:pPr>
        <w:ind w:left="1255" w:hanging="313"/>
      </w:pPr>
      <w:rPr>
        <w:rFonts w:hint="default"/>
        <w:lang w:val="en-US" w:eastAsia="en-US" w:bidi="ar-SA"/>
      </w:rPr>
    </w:lvl>
    <w:lvl w:ilvl="4">
      <w:start w:val="0"/>
      <w:numFmt w:val="bullet"/>
      <w:lvlText w:val="•"/>
      <w:lvlJc w:val="left"/>
      <w:pPr>
        <w:ind w:left="1640" w:hanging="313"/>
      </w:pPr>
      <w:rPr>
        <w:rFonts w:hint="default"/>
        <w:lang w:val="en-US" w:eastAsia="en-US" w:bidi="ar-SA"/>
      </w:rPr>
    </w:lvl>
    <w:lvl w:ilvl="5">
      <w:start w:val="0"/>
      <w:numFmt w:val="bullet"/>
      <w:lvlText w:val="•"/>
      <w:lvlJc w:val="left"/>
      <w:pPr>
        <w:ind w:left="2025" w:hanging="313"/>
      </w:pPr>
      <w:rPr>
        <w:rFonts w:hint="default"/>
        <w:lang w:val="en-US" w:eastAsia="en-US" w:bidi="ar-SA"/>
      </w:rPr>
    </w:lvl>
    <w:lvl w:ilvl="6">
      <w:start w:val="0"/>
      <w:numFmt w:val="bullet"/>
      <w:lvlText w:val="•"/>
      <w:lvlJc w:val="left"/>
      <w:pPr>
        <w:ind w:left="2410" w:hanging="313"/>
      </w:pPr>
      <w:rPr>
        <w:rFonts w:hint="default"/>
        <w:lang w:val="en-US" w:eastAsia="en-US" w:bidi="ar-SA"/>
      </w:rPr>
    </w:lvl>
    <w:lvl w:ilvl="7">
      <w:start w:val="0"/>
      <w:numFmt w:val="bullet"/>
      <w:lvlText w:val="•"/>
      <w:lvlJc w:val="left"/>
      <w:pPr>
        <w:ind w:left="2795" w:hanging="313"/>
      </w:pPr>
      <w:rPr>
        <w:rFonts w:hint="default"/>
        <w:lang w:val="en-US" w:eastAsia="en-US" w:bidi="ar-SA"/>
      </w:rPr>
    </w:lvl>
    <w:lvl w:ilvl="8">
      <w:start w:val="0"/>
      <w:numFmt w:val="bullet"/>
      <w:lvlText w:val="•"/>
      <w:lvlJc w:val="left"/>
      <w:pPr>
        <w:ind w:left="3180" w:hanging="313"/>
      </w:pPr>
      <w:rPr>
        <w:rFonts w:hint="default"/>
        <w:lang w:val="en-US" w:eastAsia="en-US" w:bidi="ar-SA"/>
      </w:rPr>
    </w:lvl>
  </w:abstractNum>
  <w:abstractNum w:abstractNumId="0">
    <w:multiLevelType w:val="hybridMultilevel"/>
    <w:lvl w:ilvl="0">
      <w:start w:val="0"/>
      <w:numFmt w:val="bullet"/>
      <w:lvlText w:val=""/>
      <w:lvlJc w:val="left"/>
      <w:pPr>
        <w:ind w:left="1520" w:hanging="360"/>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2502" w:hanging="360"/>
      </w:pPr>
      <w:rPr>
        <w:rFonts w:hint="default"/>
        <w:lang w:val="en-US" w:eastAsia="en-US" w:bidi="ar-SA"/>
      </w:rPr>
    </w:lvl>
    <w:lvl w:ilvl="2">
      <w:start w:val="0"/>
      <w:numFmt w:val="bullet"/>
      <w:lvlText w:val="•"/>
      <w:lvlJc w:val="left"/>
      <w:pPr>
        <w:ind w:left="3484" w:hanging="360"/>
      </w:pPr>
      <w:rPr>
        <w:rFonts w:hint="default"/>
        <w:lang w:val="en-US" w:eastAsia="en-US" w:bidi="ar-SA"/>
      </w:rPr>
    </w:lvl>
    <w:lvl w:ilvl="3">
      <w:start w:val="0"/>
      <w:numFmt w:val="bullet"/>
      <w:lvlText w:val="•"/>
      <w:lvlJc w:val="left"/>
      <w:pPr>
        <w:ind w:left="4466" w:hanging="360"/>
      </w:pPr>
      <w:rPr>
        <w:rFonts w:hint="default"/>
        <w:lang w:val="en-US" w:eastAsia="en-US" w:bidi="ar-SA"/>
      </w:rPr>
    </w:lvl>
    <w:lvl w:ilvl="4">
      <w:start w:val="0"/>
      <w:numFmt w:val="bullet"/>
      <w:lvlText w:val="•"/>
      <w:lvlJc w:val="left"/>
      <w:pPr>
        <w:ind w:left="5448" w:hanging="360"/>
      </w:pPr>
      <w:rPr>
        <w:rFonts w:hint="default"/>
        <w:lang w:val="en-US" w:eastAsia="en-US" w:bidi="ar-SA"/>
      </w:rPr>
    </w:lvl>
    <w:lvl w:ilvl="5">
      <w:start w:val="0"/>
      <w:numFmt w:val="bullet"/>
      <w:lvlText w:val="•"/>
      <w:lvlJc w:val="left"/>
      <w:pPr>
        <w:ind w:left="6430" w:hanging="360"/>
      </w:pPr>
      <w:rPr>
        <w:rFonts w:hint="default"/>
        <w:lang w:val="en-US" w:eastAsia="en-US" w:bidi="ar-SA"/>
      </w:rPr>
    </w:lvl>
    <w:lvl w:ilvl="6">
      <w:start w:val="0"/>
      <w:numFmt w:val="bullet"/>
      <w:lvlText w:val="•"/>
      <w:lvlJc w:val="left"/>
      <w:pPr>
        <w:ind w:left="7412" w:hanging="360"/>
      </w:pPr>
      <w:rPr>
        <w:rFonts w:hint="default"/>
        <w:lang w:val="en-US" w:eastAsia="en-US" w:bidi="ar-SA"/>
      </w:rPr>
    </w:lvl>
    <w:lvl w:ilvl="7">
      <w:start w:val="0"/>
      <w:numFmt w:val="bullet"/>
      <w:lvlText w:val="•"/>
      <w:lvlJc w:val="left"/>
      <w:pPr>
        <w:ind w:left="839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outlineLvl w:val="1"/>
    </w:pPr>
    <w:rPr>
      <w:rFonts w:ascii="Arial" w:hAnsi="Arial" w:eastAsia="Arial" w:cs="Arial"/>
      <w:sz w:val="28"/>
      <w:szCs w:val="28"/>
      <w:lang w:val="en-US" w:eastAsia="en-US" w:bidi="ar-SA"/>
    </w:rPr>
  </w:style>
  <w:style w:styleId="Title" w:type="paragraph">
    <w:name w:val="Title"/>
    <w:basedOn w:val="Normal"/>
    <w:uiPriority w:val="1"/>
    <w:qFormat/>
    <w:pPr>
      <w:spacing w:before="89"/>
      <w:ind w:left="105"/>
    </w:pPr>
    <w:rPr>
      <w:rFonts w:ascii="Arial" w:hAnsi="Arial" w:eastAsia="Arial" w:cs="Arial"/>
      <w:sz w:val="36"/>
      <w:szCs w:val="36"/>
      <w:lang w:val="en-US" w:eastAsia="en-US" w:bidi="ar-SA"/>
    </w:rPr>
  </w:style>
  <w:style w:styleId="ListParagraph" w:type="paragraph">
    <w:name w:val="List Paragraph"/>
    <w:basedOn w:val="Normal"/>
    <w:uiPriority w:val="1"/>
    <w:qFormat/>
    <w:pPr>
      <w:ind w:left="1520" w:right="129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yperlink" Target="https://www.samhsa.gov/medications-substance-use-disorders/statutes-regulations-guidelines/methadone-guidance" TargetMode="External"/><Relationship Id="rId8" Type="http://schemas.openxmlformats.org/officeDocument/2006/relationships/hyperlink" Target="mailto:Jennifer.Babich@Mass.Gov" TargetMode="External"/><Relationship Id="rId9" Type="http://schemas.openxmlformats.org/officeDocument/2006/relationships/hyperlink" Target="mailto:Michael.Gurney@Mass.Gov"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Commonwealth of Massachusetts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2023-05-01T13:47:24Z</dcterms:created>
  <dcterms:modified xsi:type="dcterms:W3CDTF">2023-05-01T13:47:24Z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Created">
    <vt:filetime>2023-05-01T00:00:00Z</vt:filetime>
  </property>
  <property fmtid="{D5CDD505-2E9C-101B-9397-08002B2CF9AE}" pid="4" name="Creator">
    <vt:lpwstr>Acrobat PDFMaker 23 for Word</vt:lpwstr>
  </property>
  <property fmtid="{D5CDD505-2E9C-101B-9397-08002B2CF9AE}" pid="5" name="GrammarlyDocumentId">
    <vt:lpwstr>00743ab7741088bace3ceb3a1fd31aaf4350d2d48dfafceed8a047fa3766eb2c</vt:lpwstr>
  </property>
  <property fmtid="{D5CDD505-2E9C-101B-9397-08002B2CF9AE}" pid="6" name="LastSaved">
    <vt:filetime>2023-05-01T00:00:00Z</vt:filetime>
  </property>
  <property fmtid="{D5CDD505-2E9C-101B-9397-08002B2CF9AE}" pid="7" name="MediaServiceImageTags">
    <vt:lpwstr/>
  </property>
  <property fmtid="{D5CDD505-2E9C-101B-9397-08002B2CF9AE}" pid="8" name="Producer">
    <vt:lpwstr>Adobe PDF Library 23.1.175</vt:lpwstr>
  </property>
  <property fmtid="{D5CDD505-2E9C-101B-9397-08002B2CF9AE}" pid="9" name="SourceModified">
    <vt:lpwstr/>
  </property>
</Properties>
</file>